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9F78" w14:textId="50EDDCFF" w:rsidR="00E61B08" w:rsidRPr="004B44BB" w:rsidRDefault="00E61B08" w:rsidP="00E61B08">
      <w:pPr>
        <w:spacing w:after="80"/>
        <w:jc w:val="center"/>
        <w:rPr>
          <w:rFonts w:ascii="Poppins" w:hAnsi="Poppins" w:cs="Poppins"/>
          <w:b/>
          <w:bCs/>
          <w:color w:val="660050"/>
          <w:sz w:val="44"/>
          <w:szCs w:val="44"/>
        </w:rPr>
      </w:pPr>
      <w:r w:rsidRPr="004B44BB">
        <w:rPr>
          <w:rFonts w:ascii="Poppins" w:hAnsi="Poppins" w:cs="Poppins"/>
          <w:b/>
          <w:bCs/>
          <w:color w:val="660050"/>
          <w:sz w:val="44"/>
          <w:szCs w:val="44"/>
        </w:rPr>
        <w:t xml:space="preserve">Renters Rights Act Action Plan for Supported Housing </w:t>
      </w:r>
    </w:p>
    <w:p w14:paraId="41929292" w14:textId="71BC287D" w:rsidR="000719F7" w:rsidRPr="000478BD" w:rsidRDefault="00760AD8" w:rsidP="000478BD">
      <w:pPr>
        <w:spacing w:after="80"/>
        <w:jc w:val="center"/>
        <w:rPr>
          <w:rFonts w:ascii="Noto Sans" w:hAnsi="Noto Sans" w:cs="Noto Sans"/>
          <w:i/>
          <w:iCs/>
          <w:sz w:val="20"/>
          <w:szCs w:val="20"/>
        </w:rPr>
      </w:pPr>
      <w:r w:rsidRPr="000478BD">
        <w:rPr>
          <w:rFonts w:ascii="Noto Sans" w:hAnsi="Noto Sans" w:cs="Noto Sans"/>
          <w:i/>
          <w:iCs/>
          <w:color w:val="555555"/>
          <w:sz w:val="20"/>
          <w:szCs w:val="20"/>
        </w:rPr>
        <w:t>Key changes from 1 May 2026 appl</w:t>
      </w:r>
      <w:r w:rsidR="009C1DBF">
        <w:rPr>
          <w:rFonts w:ascii="Noto Sans" w:hAnsi="Noto Sans" w:cs="Noto Sans"/>
          <w:i/>
          <w:iCs/>
          <w:color w:val="555555"/>
          <w:sz w:val="20"/>
          <w:szCs w:val="20"/>
        </w:rPr>
        <w:t>y</w:t>
      </w:r>
      <w:r w:rsidRPr="000478BD">
        <w:rPr>
          <w:rFonts w:ascii="Noto Sans" w:hAnsi="Noto Sans" w:cs="Noto Sans"/>
          <w:i/>
          <w:iCs/>
          <w:color w:val="555555"/>
          <w:sz w:val="20"/>
          <w:szCs w:val="20"/>
        </w:rPr>
        <w:t xml:space="preserve"> to assured/AST tenancies in the private rented sector. Providers acting as managing agents for an RP should assess which tenancies fall within scope.</w:t>
      </w:r>
      <w:r w:rsidR="000478BD" w:rsidRPr="000478BD">
        <w:rPr>
          <w:rFonts w:ascii="Noto Sans" w:hAnsi="Noto Sans" w:cs="Noto Sans"/>
          <w:i/>
          <w:iCs/>
          <w:color w:val="555555"/>
          <w:sz w:val="20"/>
          <w:szCs w:val="20"/>
        </w:rPr>
        <w:t xml:space="preserve"> </w:t>
      </w:r>
      <w:r w:rsidR="00F12F52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 xml:space="preserve">Note: This document reflects the position at April 2026 and should be reviewed regularly against </w:t>
      </w:r>
      <w:r w:rsidR="004B44BB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>government</w:t>
      </w:r>
      <w:r w:rsidR="009C1DBF">
        <w:rPr>
          <w:rFonts w:ascii="Noto Sans" w:hAnsi="Noto Sans" w:cs="Noto Sans"/>
          <w:i/>
          <w:iCs/>
          <w:color w:val="777777"/>
          <w:sz w:val="20"/>
          <w:szCs w:val="20"/>
        </w:rPr>
        <w:t xml:space="preserve"> guidance</w:t>
      </w:r>
      <w:r w:rsidR="00F12F52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>.</w:t>
      </w:r>
    </w:p>
    <w:tbl>
      <w:tblPr>
        <w:tblW w:w="1467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2693"/>
        <w:gridCol w:w="2410"/>
        <w:gridCol w:w="1773"/>
      </w:tblGrid>
      <w:tr w:rsidR="00587EB5" w:rsidRPr="00C160B5" w14:paraId="4F4FA9C5" w14:textId="77777777" w:rsidTr="009C1DBF">
        <w:trPr>
          <w:tblHeader/>
        </w:trPr>
        <w:tc>
          <w:tcPr>
            <w:tcW w:w="2410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D7D00" w14:textId="7CAFEDB2" w:rsidR="00587EB5" w:rsidRDefault="00587EB5" w:rsidP="00B81E2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5387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13760" w14:textId="580E0DBD" w:rsidR="00587EB5" w:rsidRPr="00C160B5" w:rsidRDefault="00587EB5" w:rsidP="00B81E21">
            <w:pPr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Specific Requirement</w:t>
            </w:r>
          </w:p>
        </w:tc>
        <w:tc>
          <w:tcPr>
            <w:tcW w:w="2693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63791" w14:textId="6335D213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Already in Place</w:t>
            </w:r>
          </w:p>
        </w:tc>
        <w:tc>
          <w:tcPr>
            <w:tcW w:w="2410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E796A" w14:textId="1939E59F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Action Needed</w:t>
            </w:r>
          </w:p>
        </w:tc>
        <w:tc>
          <w:tcPr>
            <w:tcW w:w="1773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492C7" w14:textId="3DDA8D92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Who / Deadline</w:t>
            </w:r>
          </w:p>
        </w:tc>
      </w:tr>
      <w:tr w:rsidR="00B81E21" w:rsidRPr="00B81E21" w14:paraId="6C226EB5" w14:textId="77777777" w:rsidTr="009C1DBF">
        <w:tc>
          <w:tcPr>
            <w:tcW w:w="2410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BE859" w14:textId="5AA7CB1D" w:rsidR="008F0828" w:rsidRPr="00B81E21" w:rsidRDefault="008F0828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Property Audit </w:t>
            </w:r>
          </w:p>
        </w:tc>
        <w:tc>
          <w:tcPr>
            <w:tcW w:w="5387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0CEAF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For each property, ensure you understand: </w:t>
            </w:r>
          </w:p>
          <w:p w14:paraId="0705F029" w14:textId="77777777" w:rsidR="008F0828" w:rsidRPr="00B81E21" w:rsidRDefault="008F0828" w:rsidP="00B81E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who owns it</w:t>
            </w:r>
          </w:p>
          <w:p w14:paraId="09DB0D8B" w14:textId="77777777" w:rsidR="008F0828" w:rsidRPr="00B81E21" w:rsidRDefault="008F0828" w:rsidP="00B81E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who is the landlord</w:t>
            </w:r>
          </w:p>
          <w:p w14:paraId="33A34D43" w14:textId="11770DE6" w:rsidR="008F0828" w:rsidRPr="00B81E21" w:rsidRDefault="00587EB5" w:rsidP="00B81E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If a </w:t>
            </w:r>
            <w:r w:rsidR="008F0828" w:rsidRPr="00B81E21">
              <w:rPr>
                <w:rFonts w:ascii="Noto Sans" w:hAnsi="Noto Sans" w:cs="Noto Sans"/>
                <w:sz w:val="20"/>
                <w:szCs w:val="20"/>
              </w:rPr>
              <w:t xml:space="preserve">management agreement </w:t>
            </w:r>
            <w:r w:rsidRPr="00B81E21">
              <w:rPr>
                <w:rFonts w:ascii="Noto Sans" w:hAnsi="Noto Sans" w:cs="Noto Sans"/>
                <w:sz w:val="20"/>
                <w:szCs w:val="20"/>
              </w:rPr>
              <w:t>is in place – which organisation is responsible for the different elements of property and housing management</w:t>
            </w:r>
          </w:p>
          <w:p w14:paraId="67FD5314" w14:textId="391D4AB2" w:rsidR="008F0828" w:rsidRPr="00B81E21" w:rsidRDefault="008F0828" w:rsidP="00B81E21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what kind of agreement residents are on</w:t>
            </w:r>
          </w:p>
        </w:tc>
        <w:tc>
          <w:tcPr>
            <w:tcW w:w="2693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921AB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DA38A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7E03E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545127F0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FA682" w14:textId="1834A829" w:rsidR="003B7862" w:rsidRPr="00B81E21" w:rsidRDefault="004877DF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Check t</w:t>
            </w:r>
            <w:r w:rsidR="003B7862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enancy/licence type for each property 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3791B" w14:textId="24FBCAFA" w:rsidR="00DD775D" w:rsidRPr="00B81E21" w:rsidRDefault="00DD775D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the type of occupancy agreement for each service/property is correct, seek legal advice if unclear.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9DD46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A7F74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84163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943A0B7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6BD6E" w14:textId="44FDA70F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Tenancy information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EC81C" w14:textId="22CA1221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Provide mandatory government information sheet to tenants with a</w:t>
            </w:r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tenancy agreement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by 31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  <w:vertAlign w:val="superscript"/>
              </w:rPr>
              <w:t>st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May 2026 </w:t>
            </w:r>
          </w:p>
          <w:p w14:paraId="339CCFFD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hyperlink r:id="rId8" w:history="1">
              <w:r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The Renters’ Rights Act Information Sheet 2026 - GOV.UK</w:t>
              </w:r>
            </w:hyperlink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(note licence holders do not need to be sent this information)</w:t>
            </w:r>
          </w:p>
          <w:p w14:paraId="0C6DDF42" w14:textId="616454B9" w:rsidR="00377788" w:rsidRPr="00B81E21" w:rsidRDefault="00377788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You must ensure that you give 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relevant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information to all new tenants</w:t>
            </w:r>
            <w:r w:rsidR="00FA48B3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as set out in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9" w:history="1">
              <w:r w:rsidR="00FA48B3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this guidance</w:t>
              </w:r>
            </w:hyperlink>
            <w:r w:rsidR="004F700A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including </w:t>
            </w:r>
            <w:r w:rsidR="00B81E21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how the accommodation meets the definition of supported accommodation.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AA697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5D0DD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A783E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233D3449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3C56AC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Tenancy policy &amp; procedure</w:t>
            </w:r>
          </w:p>
          <w:p w14:paraId="5068D8B5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E7B08" w14:textId="39FF8189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lastRenderedPageBreak/>
              <w:t>Ensure Tenancy policy &amp; procedure is clear on types of occupancy agreement and when they should be used.</w:t>
            </w:r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2D599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91371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BAD1E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AB61908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D7A7A" w14:textId="3D0F0D90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Change Assured Shorthold Tenancies to Periodic Tenancies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CE9069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All assured tenancies become periodic. </w:t>
            </w:r>
          </w:p>
          <w:p w14:paraId="7E306FE3" w14:textId="51B20BB5" w:rsidR="000E56F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All tenancy agreements issued from 1</w:t>
            </w:r>
            <w:r w:rsidRPr="00B81E21">
              <w:rPr>
                <w:rFonts w:ascii="Noto Sans" w:hAnsi="Noto Sans" w:cs="Noto Sans"/>
                <w:sz w:val="20"/>
                <w:szCs w:val="20"/>
                <w:vertAlign w:val="superscript"/>
              </w:rPr>
              <w:t>st</w:t>
            </w: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 May 2026 must reflect RRA terms.  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141F1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B7260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F8CB8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B97177E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1537B" w14:textId="6E18AE83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Rent increases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BD5E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Rent can only be increased once per year via a Section 13 notice. </w:t>
            </w:r>
          </w:p>
          <w:p w14:paraId="0A4C5E25" w14:textId="1746237D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Review rent 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policy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&amp;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processes to include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DD775D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2-month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notice period</w:t>
            </w:r>
            <w:r w:rsidR="00DD775D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what information will be used to </w:t>
            </w:r>
            <w:r w:rsidR="00196C9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increase rent and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how </w:t>
            </w:r>
            <w:r w:rsidR="00196C9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tenants will be informed.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Note, Housing Benefit </w:t>
            </w:r>
            <w:r w:rsidR="003256EB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increase submission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timing may also need amending to allow for </w:t>
            </w:r>
            <w:r w:rsidR="003256EB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the longer notice period.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4575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81474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56A2C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794F9C5E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60C23" w14:textId="660DBD7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Evictions policy &amp; procedure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69EA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Section 21 No Fault Evictions can no longer be used.</w:t>
            </w:r>
          </w:p>
          <w:p w14:paraId="2CB3EEDF" w14:textId="5BE266CA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Update Evictions policy &amp; procedure to set out when each ground for possession will be used and the process that must be followed. </w:t>
            </w:r>
          </w:p>
          <w:p w14:paraId="73BC6E68" w14:textId="0B3B0B31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hyperlink r:id="rId10" w:history="1">
              <w:r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Grounds for possession: guidance for landlords and letting agents - GOV.UK</w:t>
              </w:r>
            </w:hyperlink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487DD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CFB5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82C1B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50ECAA1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376A27" w14:textId="50F7FA55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Pet requests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4FAB3" w14:textId="598E0B52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Update policies to allow tenants to request pets; landlord cannot unreasonably refuse. </w:t>
            </w:r>
            <w:hyperlink r:id="rId11" w:history="1">
              <w:r w:rsidR="00CA7FE3" w:rsidRPr="00CA7FE3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Guidance here.</w:t>
              </w:r>
            </w:hyperlink>
            <w:r w:rsidR="00CA7FE3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  <w:p w14:paraId="7BC2B824" w14:textId="77777777" w:rsidR="00712119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Draft pet policy if not already in place.</w:t>
            </w:r>
          </w:p>
          <w:p w14:paraId="70F0240B" w14:textId="0F887E61" w:rsidR="009C1DBF" w:rsidRPr="00B81E21" w:rsidRDefault="009C1DBF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3BDF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AC1C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9F451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0958089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5729D" w14:textId="3F4BA8B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Training</w:t>
            </w:r>
            <w:r w:rsidR="00E3502E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/guidance</w:t>
            </w: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for all housing </w:t>
            </w: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lastRenderedPageBreak/>
              <w:t xml:space="preserve">management staff on tenancies and evictions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9A10C" w14:textId="584E7ED2" w:rsidR="00140E4E" w:rsidRPr="00B81E21" w:rsidRDefault="00E3502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lastRenderedPageBreak/>
              <w:t xml:space="preserve">Ensure all staff who issue tenancy agreements and 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have a role in warnings</w:t>
            </w:r>
            <w:r w:rsidR="00BD3587">
              <w:rPr>
                <w:rFonts w:ascii="Noto Sans" w:hAnsi="Noto Sans" w:cs="Noto Sans"/>
                <w:color w:val="333333"/>
                <w:sz w:val="20"/>
                <w:szCs w:val="20"/>
              </w:rPr>
              <w:t>/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evictions understand the legal 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lastRenderedPageBreak/>
              <w:t xml:space="preserve">framework and use your policies and procedures correctly. </w:t>
            </w:r>
          </w:p>
          <w:p w14:paraId="431AB3F2" w14:textId="56643666" w:rsidR="00712119" w:rsidRPr="00B81E21" w:rsidRDefault="00140E4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Sheter provides a range of free training for eligible </w:t>
            </w:r>
            <w:r w:rsidR="00C160B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organisations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: 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12" w:history="1">
              <w:r w:rsidR="00C160B5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Shelter's free and discounted training</w:t>
              </w:r>
            </w:hyperlink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62C9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AA43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A5401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28121874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CF22F" w14:textId="2E539EA9" w:rsidR="00712119" w:rsidRPr="00B81E21" w:rsidRDefault="006B711E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Review Complaints</w:t>
            </w:r>
            <w:r w:rsid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Policy &amp; Pr</w:t>
            </w:r>
            <w:r w:rsidR="00C043D8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ocedure </w:t>
            </w: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3CC38" w14:textId="24631382" w:rsidR="00712119" w:rsidRPr="00B81E21" w:rsidRDefault="006B711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Review complaints </w:t>
            </w:r>
            <w:r w:rsidR="00C043D8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policy and 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procedures</w:t>
            </w:r>
            <w:r w:rsidR="00C043D8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to ensure it is clear how tenants can complain and </w:t>
            </w:r>
            <w:r w:rsidR="00F13436">
              <w:rPr>
                <w:rFonts w:ascii="Noto Sans" w:hAnsi="Noto Sans" w:cs="Noto Sans"/>
                <w:color w:val="333333"/>
                <w:sz w:val="20"/>
                <w:szCs w:val="20"/>
              </w:rPr>
              <w:t>how you inform tenants of their rights to complain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E3D56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03E089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9CEE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412C298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0F301" w14:textId="3888A77F" w:rsidR="006B711E" w:rsidRPr="00B81E21" w:rsidRDefault="006B711E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PRS Landlord Ombudsman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7578A" w14:textId="6B2E053E" w:rsidR="006B711E" w:rsidRPr="00B81E21" w:rsidRDefault="006B711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readiness to join the new PRS Ombudsman scheme (expected </w:t>
            </w:r>
            <w:r w:rsidR="00DC698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later </w:t>
            </w:r>
            <w:r w:rsidR="00AA5664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26/27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).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A60B5F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F04DF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A8BD1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18F40AF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4D77D" w14:textId="4A551592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Register </w:t>
            </w:r>
            <w:r w:rsidR="005A7348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on </w:t>
            </w: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PRS Database </w:t>
            </w:r>
          </w:p>
          <w:p w14:paraId="5B5AC9EF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C16C" w14:textId="4FC2D2DC" w:rsidR="006B711E" w:rsidRPr="00BD3587" w:rsidRDefault="003256EB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Register all in-scope properties on the new Private Rented Sector Database when it launches</w:t>
            </w:r>
            <w:r w:rsidR="006B71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6B711E" w:rsidRPr="00B81E21">
              <w:rPr>
                <w:rFonts w:ascii="Noto Sans" w:hAnsi="Noto Sans" w:cs="Noto Sans"/>
                <w:sz w:val="20"/>
                <w:szCs w:val="20"/>
              </w:rPr>
              <w:t xml:space="preserve">(to be set up </w:t>
            </w:r>
            <w:r w:rsidR="00DC6981">
              <w:rPr>
                <w:rFonts w:ascii="Noto Sans" w:hAnsi="Noto Sans" w:cs="Noto Sans"/>
                <w:sz w:val="20"/>
                <w:szCs w:val="20"/>
              </w:rPr>
              <w:t xml:space="preserve">late </w:t>
            </w:r>
            <w:r w:rsidR="006B711E" w:rsidRPr="00B81E21">
              <w:rPr>
                <w:rFonts w:ascii="Noto Sans" w:hAnsi="Noto Sans" w:cs="Noto Sans"/>
                <w:sz w:val="20"/>
                <w:szCs w:val="20"/>
              </w:rPr>
              <w:t>26/27)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1FC7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E037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6BA2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3B21705D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C42A3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Decent Homes Standard (PRS)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5F23B" w14:textId="7A15D5F3" w:rsidR="003716F3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Review property condition against</w:t>
            </w:r>
            <w:r w:rsidR="003716F3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13" w:history="1">
              <w:r w:rsidR="003716F3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 xml:space="preserve">the New Decent Homes Standard: policy statement  </w:t>
              </w:r>
            </w:hyperlink>
          </w:p>
          <w:p w14:paraId="49351406" w14:textId="555943F6" w:rsidR="003716F3" w:rsidRPr="00B81E21" w:rsidRDefault="003716F3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Consider how </w:t>
            </w:r>
            <w:r w:rsidR="006813A2" w:rsidRPr="00B81E21">
              <w:rPr>
                <w:rFonts w:ascii="Noto Sans" w:hAnsi="Noto Sans" w:cs="Noto Sans"/>
                <w:sz w:val="20"/>
                <w:szCs w:val="20"/>
              </w:rPr>
              <w:t xml:space="preserve">you will evidence properties meet Decent Homes Standard.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4DF57C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F5E9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C270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AFF4EE4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6433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Awaab’s Law (extension to PRS)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E58A4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Prepare for prescribed timescales for addressing hazards such as damp and mould. Ensure responsive repairs processes can evidence compliance with timescales.</w:t>
            </w:r>
          </w:p>
          <w:p w14:paraId="1770A5C9" w14:textId="6FB463BF" w:rsidR="00DE3C12" w:rsidRPr="00B81E21" w:rsidRDefault="00033986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Timescales TBC</w:t>
            </w:r>
            <w:r w:rsidR="00DE3C1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– details of </w:t>
            </w:r>
            <w:hyperlink r:id="rId14" w:history="1">
              <w:r w:rsidR="00DE3C12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Awaab’s Law can be found here: guidance for social landlords</w:t>
              </w:r>
            </w:hyperlink>
            <w:r w:rsidR="00DE3C12" w:rsidRPr="00B81E2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4DEC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301BD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65EC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76F65D6" w14:textId="2A6C65F7" w:rsidR="00EF0069" w:rsidRPr="004B443F" w:rsidRDefault="00EF0069" w:rsidP="00BD3587">
      <w:pPr>
        <w:rPr>
          <w:rFonts w:asciiTheme="minorHAnsi" w:hAnsiTheme="minorHAnsi"/>
        </w:rPr>
      </w:pPr>
    </w:p>
    <w:sectPr w:rsidR="00EF0069" w:rsidRPr="004B443F" w:rsidSect="00BD3587">
      <w:headerReference w:type="default" r:id="rId15"/>
      <w:footerReference w:type="default" r:id="rId16"/>
      <w:pgSz w:w="16838" w:h="11906" w:orient="landscape"/>
      <w:pgMar w:top="1560" w:right="536" w:bottom="1080" w:left="1080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2E5A" w14:textId="77777777" w:rsidR="00CD3C89" w:rsidRDefault="00CD3C89">
      <w:r>
        <w:separator/>
      </w:r>
    </w:p>
  </w:endnote>
  <w:endnote w:type="continuationSeparator" w:id="0">
    <w:p w14:paraId="25B7E815" w14:textId="77777777" w:rsidR="00CD3C89" w:rsidRDefault="00CD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3090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DE6A1B" w14:textId="237FA3FB" w:rsidR="00D202A0" w:rsidRDefault="00D202A0" w:rsidP="00D202A0">
            <w:pPr>
              <w:pStyle w:val="Footer"/>
              <w:jc w:val="center"/>
            </w:pPr>
            <w:r w:rsidRPr="00D202A0">
              <w:rPr>
                <w:rFonts w:ascii="Noto Sans" w:hAnsi="Noto Sans" w:cs="Noto Sans"/>
              </w:rPr>
              <w:t xml:space="preserve">Page 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D202A0">
              <w:rPr>
                <w:rFonts w:ascii="Noto Sans" w:hAnsi="Noto Sans" w:cs="Noto Sans"/>
                <w:b/>
                <w:bCs/>
              </w:rPr>
              <w:instrText>PAGE</w:instrTex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D202A0">
              <w:rPr>
                <w:rFonts w:ascii="Noto Sans" w:hAnsi="Noto Sans" w:cs="Noto Sans"/>
                <w:b/>
                <w:bCs/>
              </w:rPr>
              <w:t>2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  <w:r w:rsidRPr="00D202A0">
              <w:rPr>
                <w:rFonts w:ascii="Noto Sans" w:hAnsi="Noto Sans" w:cs="Noto Sans"/>
              </w:rPr>
              <w:t xml:space="preserve"> of 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D202A0">
              <w:rPr>
                <w:rFonts w:ascii="Noto Sans" w:hAnsi="Noto Sans" w:cs="Noto Sans"/>
                <w:b/>
                <w:bCs/>
              </w:rPr>
              <w:instrText>NUMPAGES</w:instrTex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D202A0">
              <w:rPr>
                <w:rFonts w:ascii="Noto Sans" w:hAnsi="Noto Sans" w:cs="Noto Sans"/>
                <w:b/>
                <w:bCs/>
              </w:rPr>
              <w:t>2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7A4CBD" w14:textId="65D10F01" w:rsidR="000719F7" w:rsidRPr="00D202A0" w:rsidRDefault="000719F7" w:rsidP="00D2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BC64" w14:textId="77777777" w:rsidR="00CD3C89" w:rsidRDefault="00CD3C89">
      <w:r>
        <w:separator/>
      </w:r>
    </w:p>
  </w:footnote>
  <w:footnote w:type="continuationSeparator" w:id="0">
    <w:p w14:paraId="25E4991A" w14:textId="77777777" w:rsidR="00CD3C89" w:rsidRDefault="00CD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219E" w14:textId="6EE92C18" w:rsidR="004B44BB" w:rsidRDefault="00D202A0" w:rsidP="00D202A0">
    <w:pPr>
      <w:pStyle w:val="Header"/>
      <w:jc w:val="right"/>
    </w:pPr>
    <w:r>
      <w:rPr>
        <w:noProof/>
      </w:rPr>
      <w:drawing>
        <wp:inline distT="0" distB="0" distL="0" distR="0" wp14:anchorId="024D7469" wp14:editId="700BA142">
          <wp:extent cx="1693124" cy="1016668"/>
          <wp:effectExtent l="0" t="0" r="0" b="0"/>
          <wp:docPr id="1294043712" name="Picture 1" descr="Homeless Link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24483" name="Picture 1" descr="Homeless Link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44" cy="10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52E7B"/>
    <w:multiLevelType w:val="hybridMultilevel"/>
    <w:tmpl w:val="D47E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121"/>
    <w:multiLevelType w:val="hybridMultilevel"/>
    <w:tmpl w:val="F0A48816"/>
    <w:lvl w:ilvl="0" w:tplc="53045174">
      <w:start w:val="1"/>
      <w:numFmt w:val="bullet"/>
      <w:lvlText w:val="●"/>
      <w:lvlJc w:val="left"/>
      <w:pPr>
        <w:ind w:left="720" w:hanging="360"/>
      </w:pPr>
    </w:lvl>
    <w:lvl w:ilvl="1" w:tplc="4E30151A">
      <w:start w:val="1"/>
      <w:numFmt w:val="bullet"/>
      <w:lvlText w:val="○"/>
      <w:lvlJc w:val="left"/>
      <w:pPr>
        <w:ind w:left="1440" w:hanging="360"/>
      </w:pPr>
    </w:lvl>
    <w:lvl w:ilvl="2" w:tplc="D1A06E66">
      <w:start w:val="1"/>
      <w:numFmt w:val="bullet"/>
      <w:lvlText w:val="■"/>
      <w:lvlJc w:val="left"/>
      <w:pPr>
        <w:ind w:left="2160" w:hanging="360"/>
      </w:pPr>
    </w:lvl>
    <w:lvl w:ilvl="3" w:tplc="C5D058DA">
      <w:start w:val="1"/>
      <w:numFmt w:val="bullet"/>
      <w:lvlText w:val="●"/>
      <w:lvlJc w:val="left"/>
      <w:pPr>
        <w:ind w:left="2880" w:hanging="360"/>
      </w:pPr>
    </w:lvl>
    <w:lvl w:ilvl="4" w:tplc="1D7442AE">
      <w:start w:val="1"/>
      <w:numFmt w:val="bullet"/>
      <w:lvlText w:val="○"/>
      <w:lvlJc w:val="left"/>
      <w:pPr>
        <w:ind w:left="3600" w:hanging="360"/>
      </w:pPr>
    </w:lvl>
    <w:lvl w:ilvl="5" w:tplc="7EF4E3E6">
      <w:start w:val="1"/>
      <w:numFmt w:val="bullet"/>
      <w:lvlText w:val="■"/>
      <w:lvlJc w:val="left"/>
      <w:pPr>
        <w:ind w:left="4320" w:hanging="360"/>
      </w:pPr>
    </w:lvl>
    <w:lvl w:ilvl="6" w:tplc="A3883C34">
      <w:start w:val="1"/>
      <w:numFmt w:val="bullet"/>
      <w:lvlText w:val="●"/>
      <w:lvlJc w:val="left"/>
      <w:pPr>
        <w:ind w:left="5040" w:hanging="360"/>
      </w:pPr>
    </w:lvl>
    <w:lvl w:ilvl="7" w:tplc="184A3C20">
      <w:start w:val="1"/>
      <w:numFmt w:val="bullet"/>
      <w:lvlText w:val="●"/>
      <w:lvlJc w:val="left"/>
      <w:pPr>
        <w:ind w:left="5760" w:hanging="360"/>
      </w:pPr>
    </w:lvl>
    <w:lvl w:ilvl="8" w:tplc="E8EC3610">
      <w:start w:val="1"/>
      <w:numFmt w:val="bullet"/>
      <w:lvlText w:val="●"/>
      <w:lvlJc w:val="left"/>
      <w:pPr>
        <w:ind w:left="6480" w:hanging="360"/>
      </w:pPr>
    </w:lvl>
  </w:abstractNum>
  <w:num w:numId="1" w16cid:durableId="983972801">
    <w:abstractNumId w:val="1"/>
    <w:lvlOverride w:ilvl="0">
      <w:startOverride w:val="1"/>
    </w:lvlOverride>
  </w:num>
  <w:num w:numId="2" w16cid:durableId="1172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F7"/>
    <w:rsid w:val="00033986"/>
    <w:rsid w:val="000478BD"/>
    <w:rsid w:val="000719F7"/>
    <w:rsid w:val="000E56F4"/>
    <w:rsid w:val="00126739"/>
    <w:rsid w:val="00140E4E"/>
    <w:rsid w:val="001726F2"/>
    <w:rsid w:val="00195CA8"/>
    <w:rsid w:val="00196C92"/>
    <w:rsid w:val="002147A9"/>
    <w:rsid w:val="003256EB"/>
    <w:rsid w:val="003716F3"/>
    <w:rsid w:val="00375BEE"/>
    <w:rsid w:val="00377788"/>
    <w:rsid w:val="003842A0"/>
    <w:rsid w:val="00385264"/>
    <w:rsid w:val="003A2E69"/>
    <w:rsid w:val="003B7862"/>
    <w:rsid w:val="0040386C"/>
    <w:rsid w:val="00474168"/>
    <w:rsid w:val="0048031C"/>
    <w:rsid w:val="004877DF"/>
    <w:rsid w:val="00487D29"/>
    <w:rsid w:val="004A0A8C"/>
    <w:rsid w:val="004B443F"/>
    <w:rsid w:val="004B44BB"/>
    <w:rsid w:val="004F516E"/>
    <w:rsid w:val="004F700A"/>
    <w:rsid w:val="00505744"/>
    <w:rsid w:val="00587EB5"/>
    <w:rsid w:val="005A7348"/>
    <w:rsid w:val="005E2271"/>
    <w:rsid w:val="006813A2"/>
    <w:rsid w:val="00681607"/>
    <w:rsid w:val="006B711E"/>
    <w:rsid w:val="00712119"/>
    <w:rsid w:val="00760AD8"/>
    <w:rsid w:val="007E12F5"/>
    <w:rsid w:val="00846B4E"/>
    <w:rsid w:val="008711DA"/>
    <w:rsid w:val="008B490C"/>
    <w:rsid w:val="008C7C56"/>
    <w:rsid w:val="008F0828"/>
    <w:rsid w:val="009758BA"/>
    <w:rsid w:val="009A28FA"/>
    <w:rsid w:val="009C1DBF"/>
    <w:rsid w:val="009D1842"/>
    <w:rsid w:val="00AA5664"/>
    <w:rsid w:val="00AA745C"/>
    <w:rsid w:val="00B81E21"/>
    <w:rsid w:val="00BA691E"/>
    <w:rsid w:val="00BD3587"/>
    <w:rsid w:val="00C043D8"/>
    <w:rsid w:val="00C160B5"/>
    <w:rsid w:val="00C44684"/>
    <w:rsid w:val="00C6747B"/>
    <w:rsid w:val="00CA7FE3"/>
    <w:rsid w:val="00CC001E"/>
    <w:rsid w:val="00CD01D5"/>
    <w:rsid w:val="00CD3C89"/>
    <w:rsid w:val="00CE625A"/>
    <w:rsid w:val="00D202A0"/>
    <w:rsid w:val="00DC6981"/>
    <w:rsid w:val="00DD3A04"/>
    <w:rsid w:val="00DD775D"/>
    <w:rsid w:val="00DE3C12"/>
    <w:rsid w:val="00DF77A1"/>
    <w:rsid w:val="00E07EBE"/>
    <w:rsid w:val="00E3502E"/>
    <w:rsid w:val="00E61B08"/>
    <w:rsid w:val="00EC5C7C"/>
    <w:rsid w:val="00EE1AB1"/>
    <w:rsid w:val="00EF0069"/>
    <w:rsid w:val="00F12F52"/>
    <w:rsid w:val="00F13436"/>
    <w:rsid w:val="00F24B13"/>
    <w:rsid w:val="00F44B79"/>
    <w:rsid w:val="00FA48B3"/>
    <w:rsid w:val="00F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D67D1"/>
  <w15:docId w15:val="{5F8648E9-3712-44BF-8982-309D7B18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56"/>
  </w:style>
  <w:style w:type="paragraph" w:styleId="Heading1">
    <w:name w:val="heading 1"/>
    <w:uiPriority w:val="9"/>
    <w:qFormat/>
    <w:pPr>
      <w:spacing w:before="120" w:after="20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4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43F"/>
  </w:style>
  <w:style w:type="paragraph" w:styleId="Footer">
    <w:name w:val="footer"/>
    <w:basedOn w:val="Normal"/>
    <w:link w:val="FooterChar"/>
    <w:uiPriority w:val="99"/>
    <w:unhideWhenUsed/>
    <w:rsid w:val="004B4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43F"/>
  </w:style>
  <w:style w:type="character" w:styleId="UnresolvedMention">
    <w:name w:val="Unresolved Mention"/>
    <w:basedOn w:val="DefaultParagraphFont"/>
    <w:uiPriority w:val="99"/>
    <w:semiHidden/>
    <w:unhideWhenUsed/>
    <w:rsid w:val="00CD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renters-rights-act-information-sheet-2026" TargetMode="External"/><Relationship Id="rId13" Type="http://schemas.openxmlformats.org/officeDocument/2006/relationships/hyperlink" Target="https://www.gov.uk/government/consultations/consultation-on-a-reformed-decent-homes-standard-for-social-and-privately-rented-homes/outcome/the-new-decent-homes-standard-policy-state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england.shelter.org.uk/professional_resources/shelter_training/free_and_discounted_train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renting-out-your-property-guidance-for-landlords-and-letting-agents/if-a-tenant-wants-a-pet-to-live-with-the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government/publications/grounds-for-possession-guidance-for-landlords-and-letting-agents/grounds-for-possession-guidance-for-landlords-and-letting-agent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99d8cbec497bac082bc7562/Written_information_that_must_be_given_to_tenants-_landlord_guidance.pdf" TargetMode="External"/><Relationship Id="rId14" Type="http://schemas.openxmlformats.org/officeDocument/2006/relationships/hyperlink" Target="https://www.gov.uk/government/publications/awaabs-law-guidance-for-social-landlo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975E2E07B74797B05700B1B2A3DA" ma:contentTypeVersion="11" ma:contentTypeDescription="Create a new document." ma:contentTypeScope="" ma:versionID="097a92b88fe447200136835c58272529">
  <xsd:schema xmlns:xsd="http://www.w3.org/2001/XMLSchema" xmlns:xs="http://www.w3.org/2001/XMLSchema" xmlns:p="http://schemas.microsoft.com/office/2006/metadata/properties" xmlns:ns2="26cd00af-49bf-475d-9962-b856160a8fd0" xmlns:ns3="2ff871bc-43b1-4327-86d7-df04a0885ec9" targetNamespace="http://schemas.microsoft.com/office/2006/metadata/properties" ma:root="true" ma:fieldsID="1756f1ea275370f03240b6b70d29dd36" ns2:_="" ns3:_="">
    <xsd:import namespace="26cd00af-49bf-475d-9962-b856160a8fd0"/>
    <xsd:import namespace="2ff871bc-43b1-4327-86d7-df04a0885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00af-49bf-475d-9962-b856160a8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4eefb-ffb3-4728-840e-2af4fb2d1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71bc-43b1-4327-86d7-df04a0885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6eed78-8759-477a-86f1-19478e89513a}" ma:internalName="TaxCatchAll" ma:showField="CatchAllData" ma:web="2ff871bc-43b1-4327-86d7-df04a0885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d00af-49bf-475d-9962-b856160a8fd0">
      <Terms xmlns="http://schemas.microsoft.com/office/infopath/2007/PartnerControls"/>
    </lcf76f155ced4ddcb4097134ff3c332f>
    <TaxCatchAll xmlns="2ff871bc-43b1-4327-86d7-df04a0885ec9" xsi:nil="true"/>
  </documentManagement>
</p:properties>
</file>

<file path=customXml/itemProps1.xml><?xml version="1.0" encoding="utf-8"?>
<ds:datastoreItem xmlns:ds="http://schemas.openxmlformats.org/officeDocument/2006/customXml" ds:itemID="{368176EC-A357-4C8C-BFF6-A3CB8AA0B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740D2-64DE-41BF-9005-29A333A650E5}"/>
</file>

<file path=customXml/itemProps3.xml><?xml version="1.0" encoding="utf-8"?>
<ds:datastoreItem xmlns:ds="http://schemas.openxmlformats.org/officeDocument/2006/customXml" ds:itemID="{57A57052-0276-4A64-877C-177EB00B412C}"/>
</file>

<file path=customXml/itemProps4.xml><?xml version="1.0" encoding="utf-8"?>
<ds:datastoreItem xmlns:ds="http://schemas.openxmlformats.org/officeDocument/2006/customXml" ds:itemID="{A06E200E-8A10-4012-8CE5-587E654C2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3028</Characters>
  <Application>Microsoft Office Word</Application>
  <DocSecurity>0</DocSecurity>
  <Lines>144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Joanna Turner</cp:lastModifiedBy>
  <cp:revision>2</cp:revision>
  <dcterms:created xsi:type="dcterms:W3CDTF">2026-04-20T13:52:00Z</dcterms:created>
  <dcterms:modified xsi:type="dcterms:W3CDTF">2026-04-20T13:52:00Z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0x010100A725975E2E07B74797B05700B1B2A3DA</vt:lpwstr>
  </property>
</Properties>
</file>