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9F78" w14:textId="50EDDCFF" w:rsidR="00E61B08" w:rsidRPr="004B44BB" w:rsidRDefault="00E61B08" w:rsidP="00E61B08">
      <w:pPr>
        <w:spacing w:after="80"/>
        <w:jc w:val="center"/>
        <w:rPr>
          <w:rFonts w:ascii="Poppins" w:hAnsi="Poppins" w:cs="Poppins"/>
          <w:b/>
          <w:bCs/>
          <w:color w:val="660050"/>
          <w:sz w:val="44"/>
          <w:szCs w:val="44"/>
        </w:rPr>
      </w:pPr>
      <w:r w:rsidRPr="004B44BB">
        <w:rPr>
          <w:rFonts w:ascii="Poppins" w:hAnsi="Poppins" w:cs="Poppins"/>
          <w:b/>
          <w:bCs/>
          <w:color w:val="660050"/>
          <w:sz w:val="44"/>
          <w:szCs w:val="44"/>
        </w:rPr>
        <w:t xml:space="preserve">Renters Rights Act Action Plan for Supported Housing </w:t>
      </w:r>
    </w:p>
    <w:p w14:paraId="41929292" w14:textId="71BC287D" w:rsidR="000719F7" w:rsidRPr="000478BD" w:rsidRDefault="00760AD8" w:rsidP="000478BD">
      <w:pPr>
        <w:spacing w:after="80"/>
        <w:jc w:val="center"/>
        <w:rPr>
          <w:rFonts w:ascii="Noto Sans" w:hAnsi="Noto Sans" w:cs="Noto Sans"/>
          <w:i/>
          <w:iCs/>
          <w:sz w:val="20"/>
          <w:szCs w:val="20"/>
        </w:rPr>
      </w:pPr>
      <w:r w:rsidRPr="000478BD">
        <w:rPr>
          <w:rFonts w:ascii="Noto Sans" w:hAnsi="Noto Sans" w:cs="Noto Sans"/>
          <w:i/>
          <w:iCs/>
          <w:color w:val="555555"/>
          <w:sz w:val="20"/>
          <w:szCs w:val="20"/>
        </w:rPr>
        <w:t>Key changes from 1 May 2026 appl</w:t>
      </w:r>
      <w:r w:rsidR="009C1DBF">
        <w:rPr>
          <w:rFonts w:ascii="Noto Sans" w:hAnsi="Noto Sans" w:cs="Noto Sans"/>
          <w:i/>
          <w:iCs/>
          <w:color w:val="555555"/>
          <w:sz w:val="20"/>
          <w:szCs w:val="20"/>
        </w:rPr>
        <w:t>y</w:t>
      </w:r>
      <w:r w:rsidRPr="000478BD">
        <w:rPr>
          <w:rFonts w:ascii="Noto Sans" w:hAnsi="Noto Sans" w:cs="Noto Sans"/>
          <w:i/>
          <w:iCs/>
          <w:color w:val="555555"/>
          <w:sz w:val="20"/>
          <w:szCs w:val="20"/>
        </w:rPr>
        <w:t xml:space="preserve"> to assured/AST tenancies in the private rented sector. Providers acting as managing agents for an RP should assess which tenancies fall within scope.</w:t>
      </w:r>
      <w:r w:rsidR="000478BD" w:rsidRPr="000478BD">
        <w:rPr>
          <w:rFonts w:ascii="Noto Sans" w:hAnsi="Noto Sans" w:cs="Noto Sans"/>
          <w:i/>
          <w:iCs/>
          <w:color w:val="555555"/>
          <w:sz w:val="20"/>
          <w:szCs w:val="20"/>
        </w:rPr>
        <w:t xml:space="preserve"> </w:t>
      </w:r>
      <w:r w:rsidR="00F12F52" w:rsidRPr="000478BD">
        <w:rPr>
          <w:rFonts w:ascii="Noto Sans" w:hAnsi="Noto Sans" w:cs="Noto Sans"/>
          <w:i/>
          <w:iCs/>
          <w:color w:val="777777"/>
          <w:sz w:val="20"/>
          <w:szCs w:val="20"/>
        </w:rPr>
        <w:t xml:space="preserve">Note: This document reflects the position at April 2026 and should be reviewed regularly against </w:t>
      </w:r>
      <w:r w:rsidR="004B44BB" w:rsidRPr="000478BD">
        <w:rPr>
          <w:rFonts w:ascii="Noto Sans" w:hAnsi="Noto Sans" w:cs="Noto Sans"/>
          <w:i/>
          <w:iCs/>
          <w:color w:val="777777"/>
          <w:sz w:val="20"/>
          <w:szCs w:val="20"/>
        </w:rPr>
        <w:t>government</w:t>
      </w:r>
      <w:r w:rsidR="009C1DBF">
        <w:rPr>
          <w:rFonts w:ascii="Noto Sans" w:hAnsi="Noto Sans" w:cs="Noto Sans"/>
          <w:i/>
          <w:iCs/>
          <w:color w:val="777777"/>
          <w:sz w:val="20"/>
          <w:szCs w:val="20"/>
        </w:rPr>
        <w:t xml:space="preserve"> guidance</w:t>
      </w:r>
      <w:r w:rsidR="00F12F52" w:rsidRPr="000478BD">
        <w:rPr>
          <w:rFonts w:ascii="Noto Sans" w:hAnsi="Noto Sans" w:cs="Noto Sans"/>
          <w:i/>
          <w:iCs/>
          <w:color w:val="777777"/>
          <w:sz w:val="20"/>
          <w:szCs w:val="20"/>
        </w:rPr>
        <w:t>.</w:t>
      </w:r>
    </w:p>
    <w:tbl>
      <w:tblPr>
        <w:tblW w:w="1467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387"/>
        <w:gridCol w:w="2693"/>
        <w:gridCol w:w="2410"/>
        <w:gridCol w:w="1773"/>
      </w:tblGrid>
      <w:tr w:rsidR="00587EB5" w:rsidRPr="00C160B5" w14:paraId="4F4FA9C5" w14:textId="77777777" w:rsidTr="009C1DBF">
        <w:trPr>
          <w:tblHeader/>
        </w:trPr>
        <w:tc>
          <w:tcPr>
            <w:tcW w:w="2410" w:type="dxa"/>
            <w:tcBorders>
              <w:top w:val="single" w:sz="2" w:space="0" w:color="CC0099"/>
              <w:left w:val="single" w:sz="2" w:space="0" w:color="CC0099"/>
              <w:bottom w:val="single" w:sz="2" w:space="0" w:color="CC0099"/>
              <w:right w:val="single" w:sz="2" w:space="0" w:color="CC0099"/>
            </w:tcBorders>
            <w:shd w:val="clear" w:color="auto" w:fill="CC009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9D7D00" w14:textId="7CAFEDB2" w:rsidR="00587EB5" w:rsidRDefault="00587EB5" w:rsidP="00B81E21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C160B5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Area</w:t>
            </w:r>
          </w:p>
        </w:tc>
        <w:tc>
          <w:tcPr>
            <w:tcW w:w="5387" w:type="dxa"/>
            <w:tcBorders>
              <w:top w:val="single" w:sz="2" w:space="0" w:color="CC0099"/>
              <w:left w:val="single" w:sz="2" w:space="0" w:color="CC0099"/>
              <w:bottom w:val="single" w:sz="2" w:space="0" w:color="CC0099"/>
              <w:right w:val="single" w:sz="2" w:space="0" w:color="CC0099"/>
            </w:tcBorders>
            <w:shd w:val="clear" w:color="auto" w:fill="CC009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13760" w14:textId="580E0DBD" w:rsidR="00587EB5" w:rsidRPr="00C160B5" w:rsidRDefault="00587EB5" w:rsidP="00B81E21">
            <w:pPr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C160B5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Specific Requirement</w:t>
            </w:r>
          </w:p>
        </w:tc>
        <w:tc>
          <w:tcPr>
            <w:tcW w:w="2693" w:type="dxa"/>
            <w:tcBorders>
              <w:top w:val="single" w:sz="2" w:space="0" w:color="CC0099"/>
              <w:left w:val="single" w:sz="2" w:space="0" w:color="CC0099"/>
              <w:bottom w:val="single" w:sz="2" w:space="0" w:color="CC0099"/>
              <w:right w:val="single" w:sz="2" w:space="0" w:color="CC0099"/>
            </w:tcBorders>
            <w:shd w:val="clear" w:color="auto" w:fill="CC009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463791" w14:textId="6335D213" w:rsidR="00587EB5" w:rsidRPr="00C160B5" w:rsidRDefault="00587EB5" w:rsidP="00B81E21">
            <w:pPr>
              <w:rPr>
                <w:rFonts w:ascii="Noto Sans" w:hAnsi="Noto Sans" w:cs="Noto Sans"/>
                <w:sz w:val="20"/>
                <w:szCs w:val="20"/>
              </w:rPr>
            </w:pPr>
            <w:r w:rsidRPr="00C160B5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Already in Place</w:t>
            </w:r>
          </w:p>
        </w:tc>
        <w:tc>
          <w:tcPr>
            <w:tcW w:w="2410" w:type="dxa"/>
            <w:tcBorders>
              <w:top w:val="single" w:sz="2" w:space="0" w:color="CC0099"/>
              <w:left w:val="single" w:sz="2" w:space="0" w:color="CC0099"/>
              <w:bottom w:val="single" w:sz="2" w:space="0" w:color="CC0099"/>
              <w:right w:val="single" w:sz="2" w:space="0" w:color="CC0099"/>
            </w:tcBorders>
            <w:shd w:val="clear" w:color="auto" w:fill="CC009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CE796A" w14:textId="1939E59F" w:rsidR="00587EB5" w:rsidRPr="00C160B5" w:rsidRDefault="00587EB5" w:rsidP="00B81E21">
            <w:pPr>
              <w:rPr>
                <w:rFonts w:ascii="Noto Sans" w:hAnsi="Noto Sans" w:cs="Noto Sans"/>
                <w:sz w:val="20"/>
                <w:szCs w:val="20"/>
              </w:rPr>
            </w:pPr>
            <w:r w:rsidRPr="00C160B5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Action Needed</w:t>
            </w:r>
          </w:p>
        </w:tc>
        <w:tc>
          <w:tcPr>
            <w:tcW w:w="1773" w:type="dxa"/>
            <w:tcBorders>
              <w:top w:val="single" w:sz="2" w:space="0" w:color="CC0099"/>
              <w:left w:val="single" w:sz="2" w:space="0" w:color="CC0099"/>
              <w:bottom w:val="single" w:sz="2" w:space="0" w:color="CC0099"/>
              <w:right w:val="single" w:sz="2" w:space="0" w:color="CC0099"/>
            </w:tcBorders>
            <w:shd w:val="clear" w:color="auto" w:fill="CC009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1492C7" w14:textId="3DDA8D92" w:rsidR="00587EB5" w:rsidRPr="00C160B5" w:rsidRDefault="00587EB5" w:rsidP="00B81E21">
            <w:pPr>
              <w:rPr>
                <w:rFonts w:ascii="Noto Sans" w:hAnsi="Noto Sans" w:cs="Noto Sans"/>
                <w:sz w:val="20"/>
                <w:szCs w:val="20"/>
              </w:rPr>
            </w:pPr>
            <w:r w:rsidRPr="00C160B5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Who / Deadline</w:t>
            </w:r>
          </w:p>
        </w:tc>
      </w:tr>
      <w:tr w:rsidR="00B81E21" w:rsidRPr="00B81E21" w14:paraId="6C226EB5" w14:textId="77777777" w:rsidTr="009C1DBF">
        <w:tc>
          <w:tcPr>
            <w:tcW w:w="2410" w:type="dxa"/>
            <w:tcBorders>
              <w:top w:val="single" w:sz="2" w:space="0" w:color="CC00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ABE859" w14:textId="5AA7CB1D" w:rsidR="008F0828" w:rsidRPr="00B81E21" w:rsidRDefault="008F0828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Property Audit </w:t>
            </w:r>
          </w:p>
        </w:tc>
        <w:tc>
          <w:tcPr>
            <w:tcW w:w="5387" w:type="dxa"/>
            <w:tcBorders>
              <w:top w:val="single" w:sz="2" w:space="0" w:color="CC00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0CEAF" w14:textId="77777777" w:rsidR="008F0828" w:rsidRPr="00B81E21" w:rsidRDefault="008F0828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For each property, ensure you understand: </w:t>
            </w:r>
          </w:p>
          <w:p w14:paraId="0705F029" w14:textId="77777777" w:rsidR="008F0828" w:rsidRPr="00B81E21" w:rsidRDefault="008F0828" w:rsidP="00FD4E66">
            <w:pPr>
              <w:pStyle w:val="ListParagraph"/>
              <w:numPr>
                <w:ilvl w:val="0"/>
                <w:numId w:val="2"/>
              </w:numPr>
              <w:ind w:left="714" w:hanging="357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>who owns it</w:t>
            </w:r>
          </w:p>
          <w:p w14:paraId="09DB0D8B" w14:textId="77777777" w:rsidR="008F0828" w:rsidRPr="00B81E21" w:rsidRDefault="008F0828" w:rsidP="00FD4E66">
            <w:pPr>
              <w:pStyle w:val="ListParagraph"/>
              <w:numPr>
                <w:ilvl w:val="0"/>
                <w:numId w:val="2"/>
              </w:numPr>
              <w:ind w:left="714" w:hanging="357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>who is the landlord</w:t>
            </w:r>
          </w:p>
          <w:p w14:paraId="33A34D43" w14:textId="11770DE6" w:rsidR="008F0828" w:rsidRPr="00B81E21" w:rsidRDefault="00587EB5" w:rsidP="00FD4E66">
            <w:pPr>
              <w:pStyle w:val="ListParagraph"/>
              <w:numPr>
                <w:ilvl w:val="0"/>
                <w:numId w:val="2"/>
              </w:numPr>
              <w:ind w:left="714" w:hanging="357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 xml:space="preserve">If a </w:t>
            </w:r>
            <w:r w:rsidR="008F0828" w:rsidRPr="00B81E21">
              <w:rPr>
                <w:rFonts w:ascii="Noto Sans" w:hAnsi="Noto Sans" w:cs="Noto Sans"/>
                <w:sz w:val="20"/>
                <w:szCs w:val="20"/>
              </w:rPr>
              <w:t xml:space="preserve">management agreement </w:t>
            </w:r>
            <w:r w:rsidRPr="00B81E21">
              <w:rPr>
                <w:rFonts w:ascii="Noto Sans" w:hAnsi="Noto Sans" w:cs="Noto Sans"/>
                <w:sz w:val="20"/>
                <w:szCs w:val="20"/>
              </w:rPr>
              <w:t>is in place – which organisation is responsible for the different elements of property and housing management</w:t>
            </w:r>
          </w:p>
          <w:p w14:paraId="38CB9B44" w14:textId="77777777" w:rsidR="00D442D6" w:rsidRPr="00B33C5B" w:rsidRDefault="008F0828" w:rsidP="00D442D6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>what kind of agreement residents are on</w:t>
            </w:r>
          </w:p>
          <w:p w14:paraId="67FD5314" w14:textId="3EBE6E2A" w:rsidR="00B33C5B" w:rsidRPr="00D442D6" w:rsidRDefault="00B33C5B" w:rsidP="00D442D6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where an RP is the landlord </w:t>
            </w:r>
            <w:r w:rsidR="00F252B9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check </w:t>
            </w:r>
            <w:hyperlink r:id="rId8" w:history="1">
              <w:r w:rsidR="00F252B9" w:rsidRPr="0094607E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government updates</w:t>
              </w:r>
            </w:hyperlink>
            <w:r w:rsidR="00F252B9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for </w:t>
            </w:r>
            <w:r w:rsidR="0094607E">
              <w:rPr>
                <w:rFonts w:ascii="Noto Sans" w:hAnsi="Noto Sans" w:cs="Noto Sans"/>
                <w:color w:val="333333"/>
                <w:sz w:val="20"/>
                <w:szCs w:val="20"/>
              </w:rPr>
              <w:t>guidance</w:t>
            </w:r>
          </w:p>
        </w:tc>
        <w:tc>
          <w:tcPr>
            <w:tcW w:w="2693" w:type="dxa"/>
            <w:tcBorders>
              <w:top w:val="single" w:sz="2" w:space="0" w:color="CC00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6921AB" w14:textId="77777777" w:rsidR="008F0828" w:rsidRPr="00B81E21" w:rsidRDefault="008F0828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CC00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DA38A" w14:textId="77777777" w:rsidR="008F0828" w:rsidRPr="00B81E21" w:rsidRDefault="008F0828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CC00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B7E03E" w14:textId="77777777" w:rsidR="008F0828" w:rsidRPr="00B81E21" w:rsidRDefault="008F0828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545127F0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FA682" w14:textId="1834A829" w:rsidR="003B7862" w:rsidRPr="00B81E21" w:rsidRDefault="004877DF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>Check t</w:t>
            </w:r>
            <w:r w:rsidR="003B7862"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enancy/licence type for each property  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3791B" w14:textId="24FBCAFA" w:rsidR="00DD775D" w:rsidRPr="00B81E21" w:rsidRDefault="00DD775D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Ensure the type of occupancy agreement for each service/property is correct, seek legal advice if unclear.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69DD46" w14:textId="77777777" w:rsidR="003B7862" w:rsidRPr="00B81E21" w:rsidRDefault="003B7862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5A7F74" w14:textId="77777777" w:rsidR="003B7862" w:rsidRPr="00B81E21" w:rsidRDefault="003B7862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D84163" w14:textId="77777777" w:rsidR="003B7862" w:rsidRPr="00B81E21" w:rsidRDefault="003B7862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1943A0B7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6BD6E" w14:textId="44FDA70F" w:rsidR="00DD3A04" w:rsidRPr="00B81E21" w:rsidRDefault="00DD3A04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Tenancy information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FEC81C" w14:textId="22CA1221" w:rsidR="00DD3A04" w:rsidRPr="00B81E21" w:rsidRDefault="00DD3A04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Provide mandatory government information sheet to tenants with a</w:t>
            </w:r>
            <w:r w:rsidR="00712119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tenancy agreement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by 31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  <w:vertAlign w:val="superscript"/>
              </w:rPr>
              <w:t>st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May 2026 </w:t>
            </w:r>
          </w:p>
          <w:p w14:paraId="339CCFFD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hyperlink r:id="rId9" w:history="1">
              <w:r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The Renters’ Rights Act Information Sheet 2026 - GOV.UK</w:t>
              </w:r>
            </w:hyperlink>
            <w:r w:rsidR="00712119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(note licence holders do not need to be sent this information)</w:t>
            </w:r>
          </w:p>
          <w:p w14:paraId="0C6DDF42" w14:textId="616454B9" w:rsidR="00377788" w:rsidRPr="00B81E21" w:rsidRDefault="00377788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You must ensure that you give </w:t>
            </w:r>
            <w:r w:rsidR="00CC001E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relevant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r w:rsidR="00CC001E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information to all new tenants</w:t>
            </w:r>
            <w:r w:rsidR="00FA48B3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as set out in</w:t>
            </w:r>
            <w:r w:rsidR="00CC001E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hyperlink r:id="rId10" w:history="1">
              <w:r w:rsidR="00FA48B3"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this guidance</w:t>
              </w:r>
            </w:hyperlink>
            <w:r w:rsidR="004F700A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, including </w:t>
            </w:r>
            <w:r w:rsidR="00B81E21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how the accommodation meets the definition of supported accommodation.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AA697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5D0DD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A783E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233D3449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68D8B5" w14:textId="5C1B56FB" w:rsidR="00DD3A04" w:rsidRPr="00B81E21" w:rsidRDefault="00DD3A04" w:rsidP="00826077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lastRenderedPageBreak/>
              <w:t>Tenancy policy &amp; procedure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4E7B08" w14:textId="39FF8189" w:rsidR="00DD3A04" w:rsidRPr="00B81E21" w:rsidRDefault="00DD3A04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Ensure Tenancy policy &amp; procedure is clear on types of occupancy agreement and when they should be used.</w:t>
            </w:r>
            <w:r w:rsidR="00712119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2D599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591371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4BAD1E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0AB61908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5D7A7A" w14:textId="3D0F0D90" w:rsidR="00DD3A04" w:rsidRPr="00B81E21" w:rsidRDefault="00DD3A04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Change Assured Shorthold Tenancies to Periodic Tenancies 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CE9069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All assured tenancies become periodic. </w:t>
            </w:r>
          </w:p>
          <w:p w14:paraId="4998DEE3" w14:textId="77777777" w:rsidR="000E56F4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>All tenancy agreements issued from 1</w:t>
            </w:r>
            <w:r w:rsidRPr="00B81E21">
              <w:rPr>
                <w:rFonts w:ascii="Noto Sans" w:hAnsi="Noto Sans" w:cs="Noto Sans"/>
                <w:sz w:val="20"/>
                <w:szCs w:val="20"/>
                <w:vertAlign w:val="superscript"/>
              </w:rPr>
              <w:t>st</w:t>
            </w:r>
            <w:r w:rsidRPr="00B81E21">
              <w:rPr>
                <w:rFonts w:ascii="Noto Sans" w:hAnsi="Noto Sans" w:cs="Noto Sans"/>
                <w:sz w:val="20"/>
                <w:szCs w:val="20"/>
              </w:rPr>
              <w:t xml:space="preserve"> May 2026 must reflect RRA terms.   </w:t>
            </w:r>
          </w:p>
          <w:p w14:paraId="48ED8941" w14:textId="77777777" w:rsidR="00AB6550" w:rsidRDefault="006E6152" w:rsidP="00826077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Ensure tenancy agreements </w:t>
            </w:r>
            <w:r w:rsidR="00E7314F">
              <w:rPr>
                <w:rFonts w:ascii="Noto Sans" w:hAnsi="Noto Sans" w:cs="Noto Sans"/>
                <w:sz w:val="20"/>
                <w:szCs w:val="20"/>
              </w:rPr>
              <w:t>include</w:t>
            </w:r>
            <w:r w:rsidR="00AB6550">
              <w:rPr>
                <w:rFonts w:ascii="Noto Sans" w:hAnsi="Noto Sans" w:cs="Noto Sans"/>
                <w:sz w:val="20"/>
                <w:szCs w:val="20"/>
              </w:rPr>
              <w:t>:</w:t>
            </w:r>
          </w:p>
          <w:p w14:paraId="38F5095E" w14:textId="77777777" w:rsidR="006E6152" w:rsidRDefault="00E7314F" w:rsidP="00826077">
            <w:pPr>
              <w:pStyle w:val="ListParagraph"/>
              <w:numPr>
                <w:ilvl w:val="0"/>
                <w:numId w:val="3"/>
              </w:numPr>
              <w:rPr>
                <w:rFonts w:ascii="Noto Sans" w:hAnsi="Noto Sans" w:cs="Noto Sans"/>
                <w:sz w:val="20"/>
                <w:szCs w:val="20"/>
              </w:rPr>
            </w:pPr>
            <w:r w:rsidRPr="00AB6550">
              <w:rPr>
                <w:rFonts w:ascii="Noto Sans" w:hAnsi="Noto Sans" w:cs="Noto Sans"/>
                <w:sz w:val="20"/>
                <w:szCs w:val="20"/>
              </w:rPr>
              <w:t xml:space="preserve">the </w:t>
            </w:r>
            <w:r w:rsidR="00C8719C" w:rsidRPr="00AB6550">
              <w:rPr>
                <w:rFonts w:ascii="Noto Sans" w:hAnsi="Noto Sans" w:cs="Noto Sans"/>
                <w:sz w:val="20"/>
                <w:szCs w:val="20"/>
              </w:rPr>
              <w:t>requirements of tenants including engagement with support</w:t>
            </w:r>
            <w:r w:rsidR="00384698" w:rsidRPr="00AB6550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7E306FE3" w14:textId="0BE63B08" w:rsidR="00AB6550" w:rsidRPr="00AB6550" w:rsidRDefault="00D375AA" w:rsidP="00AB6550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 xml:space="preserve">rent and service charges clearly set out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4141F1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8B7260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AF8CB8" w14:textId="77777777" w:rsidR="00DD3A04" w:rsidRPr="00B81E21" w:rsidRDefault="00DD3A04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0B97177E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1537B" w14:textId="6E18AE83" w:rsidR="00712119" w:rsidRPr="00B81E21" w:rsidRDefault="00712119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Rent increases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EBD5EB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Rent can only be increased once per year via a Section 13 notice. </w:t>
            </w:r>
          </w:p>
          <w:p w14:paraId="7EA08286" w14:textId="77777777" w:rsidR="00712119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Review rent </w:t>
            </w:r>
            <w:r w:rsidR="001726F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policy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&amp;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processes to include</w:t>
            </w:r>
            <w:r w:rsidR="001726F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r w:rsidR="00DD775D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2-month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r w:rsidR="001726F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notice period</w:t>
            </w:r>
            <w:r w:rsidR="00DD775D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, what information will be used to </w:t>
            </w:r>
            <w:r w:rsidR="00196C9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increase rent and 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how </w:t>
            </w:r>
            <w:r w:rsidR="00196C9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tenants will be informed. 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Note, Housing Benefit </w:t>
            </w:r>
            <w:r w:rsidR="003256EB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increase submission 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timing may also need amending to allow for </w:t>
            </w:r>
            <w:r w:rsidR="003256EB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the longer notice period.</w:t>
            </w:r>
            <w:r w:rsidR="007E12F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</w:p>
          <w:p w14:paraId="0A4C5E25" w14:textId="3B92F019" w:rsidR="00B44C26" w:rsidRPr="00B81E21" w:rsidRDefault="00B44C26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>
              <w:rPr>
                <w:rFonts w:ascii="Noto Sans" w:hAnsi="Noto Sans" w:cs="Noto Sans"/>
                <w:color w:val="333333"/>
                <w:sz w:val="20"/>
                <w:szCs w:val="20"/>
              </w:rPr>
              <w:t>R</w:t>
            </w:r>
            <w:r w:rsidRPr="00B44C26">
              <w:rPr>
                <w:rFonts w:ascii="Noto Sans" w:hAnsi="Noto Sans" w:cs="Noto Sans"/>
                <w:color w:val="333333"/>
                <w:sz w:val="20"/>
                <w:szCs w:val="20"/>
              </w:rPr>
              <w:t>eview how rent and service charges are structured</w:t>
            </w:r>
            <w:r w:rsidR="00826077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, </w:t>
            </w:r>
            <w:r w:rsidRPr="00B44C26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specifically </w:t>
            </w:r>
            <w:r w:rsidR="00826077">
              <w:rPr>
                <w:rFonts w:ascii="Noto Sans" w:hAnsi="Noto Sans" w:cs="Noto Sans"/>
                <w:color w:val="333333"/>
                <w:sz w:val="20"/>
                <w:szCs w:val="20"/>
              </w:rPr>
              <w:t>around separating</w:t>
            </w:r>
            <w:r w:rsidRPr="00B44C26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service charges from core rent</w:t>
            </w:r>
            <w:r w:rsidR="00826077">
              <w:rPr>
                <w:rFonts w:ascii="Noto Sans" w:hAnsi="Noto Sans" w:cs="Noto Sans"/>
                <w:color w:val="333333"/>
                <w:sz w:val="20"/>
                <w:szCs w:val="20"/>
              </w:rPr>
              <w:t>,</w:t>
            </w:r>
            <w:r w:rsidRPr="00B44C26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as this will be important if a tenant refers a rent increase to the Tribunal.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C4575B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81474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56A2C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794F9C5E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60C23" w14:textId="660DBD77" w:rsidR="00712119" w:rsidRPr="00B81E21" w:rsidRDefault="00712119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>Evictions policy &amp; procedure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69EA2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Section 21 No Fault Evictions can no longer be used.</w:t>
            </w:r>
          </w:p>
          <w:p w14:paraId="2CB3EEDF" w14:textId="5BE266CA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Update Evictions policy &amp; procedure to set out when each ground for possession will be used and the process that must be followed. </w:t>
            </w:r>
          </w:p>
          <w:p w14:paraId="73BC6E68" w14:textId="0B3B0B31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hyperlink r:id="rId11" w:history="1">
              <w:r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Grounds for possession: guidance for landlords and letting agents - GOV.UK</w:t>
              </w:r>
            </w:hyperlink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E487DD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CFB55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82C1BE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06899" w:rsidRPr="00B81E21" w14:paraId="44A105BE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11DA1" w14:textId="5928575E" w:rsidR="00906899" w:rsidRPr="00B81E21" w:rsidRDefault="00906899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906899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lastRenderedPageBreak/>
              <w:t>Move-on</w:t>
            </w:r>
            <w:r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 p</w:t>
            </w:r>
            <w:r w:rsidR="00CC6AE2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lanning 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82676A" w14:textId="77777777" w:rsidR="00CC6AE2" w:rsidRDefault="00906899" w:rsidP="00906899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906899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Review move-on processes and ensure support plans include clear expectations around move-on planning. Where residents are assessed as ready to move on, ensure the assessment and any subsequent conversations are documented. </w:t>
            </w:r>
          </w:p>
          <w:p w14:paraId="575A9037" w14:textId="7F0A75FC" w:rsidR="00906899" w:rsidRPr="00B81E21" w:rsidRDefault="0090689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906899">
              <w:rPr>
                <w:rFonts w:ascii="Noto Sans" w:hAnsi="Noto Sans" w:cs="Noto Sans"/>
                <w:color w:val="333333"/>
                <w:sz w:val="20"/>
                <w:szCs w:val="20"/>
              </w:rPr>
              <w:t>Consider which possession grounds may apply (5F, 5H, or 18) and whether current tenancy agreements are structured to keep these options available.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5B68F1" w14:textId="77777777" w:rsidR="00906899" w:rsidRPr="00B81E21" w:rsidRDefault="0090689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D5D305" w14:textId="77777777" w:rsidR="00906899" w:rsidRPr="00B81E21" w:rsidRDefault="0090689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0D4F1E" w14:textId="77777777" w:rsidR="00906899" w:rsidRPr="00B81E21" w:rsidRDefault="0090689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150ECAA1" w14:textId="77777777" w:rsidTr="00826077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376A27" w14:textId="50F7FA55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Pet requests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64FAB3" w14:textId="598E0B52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Update policies to allow tenants to request pets; landlord cannot unreasonably refuse. </w:t>
            </w:r>
            <w:hyperlink r:id="rId12" w:history="1">
              <w:r w:rsidR="00CA7FE3" w:rsidRPr="00CA7FE3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Guidance here.</w:t>
              </w:r>
            </w:hyperlink>
            <w:r w:rsidR="00CA7FE3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</w:p>
          <w:p w14:paraId="70F0240B" w14:textId="0ED0C5AC" w:rsidR="009C1DBF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Draft pet policy if not already in place.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3BDF2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AC1CE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A9F451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10958089" w14:textId="77777777" w:rsidTr="00826077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5729D" w14:textId="3F4BA8B7" w:rsidR="00712119" w:rsidRPr="00B81E21" w:rsidRDefault="00712119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>Training</w:t>
            </w:r>
            <w:r w:rsidR="00E3502E"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>/guidance</w:t>
            </w: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for all housing management staff on tenancies and evictions 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F9A10C" w14:textId="584E7ED2" w:rsidR="00140E4E" w:rsidRPr="00B81E21" w:rsidRDefault="00E3502E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Ensure all staff who issue tenancy agreements and </w:t>
            </w:r>
            <w:r w:rsidR="00FC074F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have a role in warnings</w:t>
            </w:r>
            <w:r w:rsidR="00BD3587">
              <w:rPr>
                <w:rFonts w:ascii="Noto Sans" w:hAnsi="Noto Sans" w:cs="Noto Sans"/>
                <w:color w:val="333333"/>
                <w:sz w:val="20"/>
                <w:szCs w:val="20"/>
              </w:rPr>
              <w:t>/</w:t>
            </w:r>
            <w:r w:rsidR="00FC074F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evictions understand the legal framework and use your policies and procedures correctly. </w:t>
            </w:r>
          </w:p>
          <w:p w14:paraId="431AB3F2" w14:textId="56643666" w:rsidR="00712119" w:rsidRPr="00B81E21" w:rsidRDefault="00140E4E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Sheter provides a range of free training for eligible </w:t>
            </w:r>
            <w:r w:rsidR="00C160B5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organisations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: </w:t>
            </w:r>
            <w:r w:rsidR="00FC074F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hyperlink r:id="rId13" w:history="1">
              <w:r w:rsidR="00C160B5"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Shelter's free and discounted training</w:t>
              </w:r>
            </w:hyperlink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62C9E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9AA435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 w:themeFill="background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9A5401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13EDF" w:rsidRPr="00B81E21" w14:paraId="1F32AB97" w14:textId="77777777" w:rsidTr="00826077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6AD75" w14:textId="4226C501" w:rsidR="00B13EDF" w:rsidRPr="00B81E21" w:rsidRDefault="001047E7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Review Support Policy &amp; Procedure</w:t>
            </w:r>
            <w:r w:rsidR="009C4634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 and relevant recording systems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95006" w14:textId="32B0FA09" w:rsidR="00B13EDF" w:rsidRPr="00B81E21" w:rsidRDefault="009C4634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Ensure </w:t>
            </w:r>
            <w:r w:rsidR="000B5650">
              <w:rPr>
                <w:rFonts w:ascii="Noto Sans" w:hAnsi="Noto Sans" w:cs="Noto Sans"/>
                <w:color w:val="333333"/>
                <w:sz w:val="20"/>
                <w:szCs w:val="20"/>
              </w:rPr>
              <w:t>engagement and non-engagement in support is clearly recorded and</w:t>
            </w:r>
            <w:r w:rsidR="00BE16D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r w:rsidR="00EA5F27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positive </w:t>
            </w:r>
            <w:r w:rsidR="00BE16D1">
              <w:rPr>
                <w:rFonts w:ascii="Noto Sans" w:hAnsi="Noto Sans" w:cs="Noto Sans"/>
                <w:color w:val="333333"/>
                <w:sz w:val="20"/>
                <w:szCs w:val="20"/>
              </w:rPr>
              <w:t>strategies for engagement/re-engagement are set out and used</w:t>
            </w:r>
            <w:r w:rsidR="00EA5F27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FCD05" w14:textId="77777777" w:rsidR="00B13EDF" w:rsidRPr="00B81E21" w:rsidRDefault="00B13EDF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3926AA" w14:textId="77777777" w:rsidR="00B13EDF" w:rsidRPr="00B81E21" w:rsidRDefault="00B13EDF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8D062C" w14:textId="77777777" w:rsidR="00B13EDF" w:rsidRPr="00B81E21" w:rsidRDefault="00B13EDF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28121874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5CF22F" w14:textId="2E539EA9" w:rsidR="00712119" w:rsidRPr="00B81E21" w:rsidRDefault="006B711E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Review Complaints</w:t>
            </w:r>
            <w:r w:rsid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 Policy &amp; Pr</w:t>
            </w:r>
            <w:r w:rsidR="00C043D8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ocedure </w:t>
            </w: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3CC38" w14:textId="24631382" w:rsidR="00712119" w:rsidRPr="00B81E21" w:rsidRDefault="006B711E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Review complaints </w:t>
            </w:r>
            <w:r w:rsidR="00C043D8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policy and 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procedures</w:t>
            </w:r>
            <w:r w:rsidR="00C043D8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to ensure it is clear how tenants can complain and </w:t>
            </w:r>
            <w:r w:rsidR="00F13436">
              <w:rPr>
                <w:rFonts w:ascii="Noto Sans" w:hAnsi="Noto Sans" w:cs="Noto Sans"/>
                <w:color w:val="333333"/>
                <w:sz w:val="20"/>
                <w:szCs w:val="20"/>
              </w:rPr>
              <w:t>how you inform tenants of their rights to complain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7E3D56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03E089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C9CEE0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1412C298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0F301" w14:textId="3888A77F" w:rsidR="006B711E" w:rsidRPr="00B81E21" w:rsidRDefault="006B711E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lastRenderedPageBreak/>
              <w:t>PRS Landlord Ombudsman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7578A" w14:textId="6B2E053E" w:rsidR="006B711E" w:rsidRPr="00B81E21" w:rsidRDefault="006B711E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Ensure readiness to join the new PRS Ombudsman scheme (expected </w:t>
            </w:r>
            <w:r w:rsidR="00DC698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later </w:t>
            </w:r>
            <w:r w:rsidR="00AA5664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26/27</w:t>
            </w: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).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A60B5F" w14:textId="77777777" w:rsidR="006B711E" w:rsidRPr="00B81E21" w:rsidRDefault="006B711E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0F04DF" w14:textId="77777777" w:rsidR="006B711E" w:rsidRPr="00B81E21" w:rsidRDefault="006B711E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A8BD1" w14:textId="77777777" w:rsidR="006B711E" w:rsidRPr="00B81E21" w:rsidRDefault="006B711E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018F40AF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4D77D" w14:textId="4A551592" w:rsidR="00712119" w:rsidRPr="00B81E21" w:rsidRDefault="00712119" w:rsidP="00B81E21">
            <w:pPr>
              <w:spacing w:after="60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Register </w:t>
            </w:r>
            <w:r w:rsidR="005A7348"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on </w:t>
            </w:r>
            <w:r w:rsidRPr="00B81E2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PRS Database </w:t>
            </w:r>
          </w:p>
          <w:p w14:paraId="5B5AC9EF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1C16C" w14:textId="4FC2D2DC" w:rsidR="006B711E" w:rsidRPr="00BD3587" w:rsidRDefault="003256EB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Register all in-scope properties on the new Private Rented Sector Database when it launches</w:t>
            </w:r>
            <w:r w:rsidR="006B711E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r w:rsidR="006B711E" w:rsidRPr="00B81E21">
              <w:rPr>
                <w:rFonts w:ascii="Noto Sans" w:hAnsi="Noto Sans" w:cs="Noto Sans"/>
                <w:sz w:val="20"/>
                <w:szCs w:val="20"/>
              </w:rPr>
              <w:t xml:space="preserve">(to be set up </w:t>
            </w:r>
            <w:r w:rsidR="00DC6981">
              <w:rPr>
                <w:rFonts w:ascii="Noto Sans" w:hAnsi="Noto Sans" w:cs="Noto Sans"/>
                <w:sz w:val="20"/>
                <w:szCs w:val="20"/>
              </w:rPr>
              <w:t xml:space="preserve">late </w:t>
            </w:r>
            <w:r w:rsidR="006B711E" w:rsidRPr="00B81E21">
              <w:rPr>
                <w:rFonts w:ascii="Noto Sans" w:hAnsi="Noto Sans" w:cs="Noto Sans"/>
                <w:sz w:val="20"/>
                <w:szCs w:val="20"/>
              </w:rPr>
              <w:t>26/27)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661FC7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E0370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6BA20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3B21705D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C42A3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Decent Homes Standard (PRS)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5F23B" w14:textId="7A15D5F3" w:rsidR="003716F3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Review property condition against</w:t>
            </w:r>
            <w:r w:rsidR="003716F3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</w:t>
            </w:r>
            <w:hyperlink r:id="rId14" w:history="1">
              <w:r w:rsidR="003716F3"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 xml:space="preserve">the New Decent Homes Standard: policy statement  </w:t>
              </w:r>
            </w:hyperlink>
          </w:p>
          <w:p w14:paraId="49351406" w14:textId="555943F6" w:rsidR="003716F3" w:rsidRPr="00B81E21" w:rsidRDefault="003716F3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sz w:val="20"/>
                <w:szCs w:val="20"/>
              </w:rPr>
              <w:t xml:space="preserve">Consider how </w:t>
            </w:r>
            <w:r w:rsidR="006813A2" w:rsidRPr="00B81E21">
              <w:rPr>
                <w:rFonts w:ascii="Noto Sans" w:hAnsi="Noto Sans" w:cs="Noto Sans"/>
                <w:sz w:val="20"/>
                <w:szCs w:val="20"/>
              </w:rPr>
              <w:t xml:space="preserve">you will evidence properties meet Decent Homes Standard.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4DF57C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F5E95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C2702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87EB5" w:rsidRPr="00B81E21" w14:paraId="0AFF4EE4" w14:textId="77777777" w:rsidTr="009C1DBF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06433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Awaab’s Law (extension to PRS)</w:t>
            </w: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AE58A4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Prepare for prescribed timescales for addressing hazards such as damp and mould. Ensure responsive repairs processes can evidence compliance with timescales.</w:t>
            </w:r>
          </w:p>
          <w:p w14:paraId="1770A5C9" w14:textId="6FB463BF" w:rsidR="00DE3C12" w:rsidRPr="00B81E21" w:rsidRDefault="00033986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  <w:r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>Timescales TBC</w:t>
            </w:r>
            <w:r w:rsidR="00DE3C12" w:rsidRPr="00B81E21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– details of </w:t>
            </w:r>
            <w:hyperlink r:id="rId15" w:history="1">
              <w:r w:rsidR="00DE3C12" w:rsidRPr="00B81E21">
                <w:rPr>
                  <w:rStyle w:val="Hyperlink"/>
                  <w:rFonts w:ascii="Noto Sans" w:hAnsi="Noto Sans" w:cs="Noto Sans"/>
                  <w:sz w:val="20"/>
                  <w:szCs w:val="20"/>
                </w:rPr>
                <w:t>Awaab’s Law can be found here: guidance for social landlords</w:t>
              </w:r>
            </w:hyperlink>
            <w:r w:rsidR="00DE3C12" w:rsidRPr="00B81E21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4DEC5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301BD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6E6E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D65ECB" w14:textId="77777777" w:rsidR="00712119" w:rsidRPr="00B81E21" w:rsidRDefault="00712119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CF7BEF" w:rsidRPr="00B81E21" w14:paraId="649508D1" w14:textId="77777777" w:rsidTr="00826077"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8F7CE5" w14:textId="0D47756D" w:rsidR="00CF7BEF" w:rsidRPr="00CF7BEF" w:rsidRDefault="00CF7BEF" w:rsidP="00CF7BEF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S</w:t>
            </w:r>
            <w:r w:rsidRPr="00CF7BEF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 xml:space="preserve">tepping </w:t>
            </w:r>
            <w:r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S</w:t>
            </w:r>
            <w:r w:rsidRPr="00CF7BEF"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  <w:t>tone accommodation</w:t>
            </w:r>
          </w:p>
          <w:p w14:paraId="006A0317" w14:textId="77777777" w:rsidR="00CF7BEF" w:rsidRPr="00B81E21" w:rsidRDefault="00CF7BEF" w:rsidP="00B81E21">
            <w:pPr>
              <w:spacing w:after="60"/>
              <w:rPr>
                <w:rFonts w:ascii="Noto Sans" w:hAnsi="Noto Sans" w:cs="Noto Sans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544B2" w14:textId="454E7DB3" w:rsidR="00CF7BEF" w:rsidRPr="00B81E21" w:rsidRDefault="00CF7BEF" w:rsidP="00CF7BEF">
            <w:pPr>
              <w:spacing w:after="60"/>
              <w:rPr>
                <w:rFonts w:ascii="Noto Sans" w:hAnsi="Noto Sans" w:cs="Noto Sans"/>
                <w:color w:val="333333"/>
                <w:sz w:val="20"/>
                <w:szCs w:val="20"/>
              </w:rPr>
            </w:pPr>
            <w:r w:rsidRPr="00CF7BEF">
              <w:rPr>
                <w:rFonts w:ascii="Noto Sans" w:hAnsi="Noto Sans" w:cs="Noto Sans"/>
                <w:color w:val="333333"/>
                <w:sz w:val="20"/>
                <w:szCs w:val="20"/>
              </w:rPr>
              <w:t>If you are a Registered Provider or charity using time-limited or move-on focused accommodation, review whether tenancy agreements meet the requirements for Ground 5H (stepping stone accommodation). Eligibility criteria (age or employment status only) and below-80%-market-rent must be set out in the written agreement at the point the tenancy is granted</w:t>
            </w:r>
            <w:r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-</w:t>
            </w:r>
            <w:r w:rsidRPr="00CF7BEF">
              <w:rPr>
                <w:rFonts w:ascii="Noto Sans" w:hAnsi="Noto Sans" w:cs="Noto Sans"/>
                <w:color w:val="333333"/>
                <w:sz w:val="20"/>
                <w:szCs w:val="20"/>
              </w:rPr>
              <w:t xml:space="preserve"> they cannot be added later.</w:t>
            </w:r>
          </w:p>
        </w:tc>
        <w:tc>
          <w:tcPr>
            <w:tcW w:w="269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2966F9" w14:textId="77777777" w:rsidR="00CF7BEF" w:rsidRPr="00B81E21" w:rsidRDefault="00CF7BEF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6027A9" w14:textId="77777777" w:rsidR="00CF7BEF" w:rsidRPr="00B81E21" w:rsidRDefault="00CF7BEF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DE69FD" w14:textId="77777777" w:rsidR="00CF7BEF" w:rsidRPr="00B81E21" w:rsidRDefault="00CF7BEF" w:rsidP="00B81E21">
            <w:pPr>
              <w:spacing w:after="60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276F65D6" w14:textId="2A6C65F7" w:rsidR="00EF0069" w:rsidRPr="004B443F" w:rsidRDefault="00EF0069" w:rsidP="00BD3587">
      <w:pPr>
        <w:rPr>
          <w:rFonts w:asciiTheme="minorHAnsi" w:hAnsiTheme="minorHAnsi"/>
        </w:rPr>
      </w:pPr>
    </w:p>
    <w:sectPr w:rsidR="00EF0069" w:rsidRPr="004B443F" w:rsidSect="00BD3587">
      <w:headerReference w:type="default" r:id="rId16"/>
      <w:footerReference w:type="default" r:id="rId17"/>
      <w:pgSz w:w="16838" w:h="11906" w:orient="landscape"/>
      <w:pgMar w:top="1560" w:right="536" w:bottom="1080" w:left="1080" w:header="42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B899" w14:textId="77777777" w:rsidR="00433F71" w:rsidRDefault="00433F71">
      <w:r>
        <w:separator/>
      </w:r>
    </w:p>
  </w:endnote>
  <w:endnote w:type="continuationSeparator" w:id="0">
    <w:p w14:paraId="5C4371F2" w14:textId="77777777" w:rsidR="00433F71" w:rsidRDefault="0043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43090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DE6A1B" w14:textId="237FA3FB" w:rsidR="00D202A0" w:rsidRDefault="00D202A0" w:rsidP="00D202A0">
            <w:pPr>
              <w:pStyle w:val="Footer"/>
              <w:jc w:val="center"/>
            </w:pPr>
            <w:r w:rsidRPr="00D202A0">
              <w:rPr>
                <w:rFonts w:ascii="Noto Sans" w:hAnsi="Noto Sans" w:cs="Noto Sans"/>
              </w:rPr>
              <w:t xml:space="preserve">Page </w: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begin"/>
            </w:r>
            <w:r w:rsidRPr="00D202A0">
              <w:rPr>
                <w:rFonts w:ascii="Noto Sans" w:hAnsi="Noto Sans" w:cs="Noto Sans"/>
                <w:b/>
                <w:bCs/>
              </w:rPr>
              <w:instrText>PAGE</w:instrTex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separate"/>
            </w:r>
            <w:r w:rsidRPr="00D202A0">
              <w:rPr>
                <w:rFonts w:ascii="Noto Sans" w:hAnsi="Noto Sans" w:cs="Noto Sans"/>
                <w:b/>
                <w:bCs/>
              </w:rPr>
              <w:t>2</w: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end"/>
            </w:r>
            <w:r w:rsidRPr="00D202A0">
              <w:rPr>
                <w:rFonts w:ascii="Noto Sans" w:hAnsi="Noto Sans" w:cs="Noto Sans"/>
              </w:rPr>
              <w:t xml:space="preserve"> of </w: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begin"/>
            </w:r>
            <w:r w:rsidRPr="00D202A0">
              <w:rPr>
                <w:rFonts w:ascii="Noto Sans" w:hAnsi="Noto Sans" w:cs="Noto Sans"/>
                <w:b/>
                <w:bCs/>
              </w:rPr>
              <w:instrText>NUMPAGES</w:instrTex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separate"/>
            </w:r>
            <w:r w:rsidRPr="00D202A0">
              <w:rPr>
                <w:rFonts w:ascii="Noto Sans" w:hAnsi="Noto Sans" w:cs="Noto Sans"/>
                <w:b/>
                <w:bCs/>
              </w:rPr>
              <w:t>2</w:t>
            </w:r>
            <w:r w:rsidRPr="00D202A0">
              <w:rPr>
                <w:rFonts w:ascii="Noto Sans" w:hAnsi="Noto Sans" w:cs="Noto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7A4CBD" w14:textId="65D10F01" w:rsidR="000719F7" w:rsidRPr="00D202A0" w:rsidRDefault="000719F7" w:rsidP="00D20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E1F2" w14:textId="77777777" w:rsidR="00433F71" w:rsidRDefault="00433F71">
      <w:r>
        <w:separator/>
      </w:r>
    </w:p>
  </w:footnote>
  <w:footnote w:type="continuationSeparator" w:id="0">
    <w:p w14:paraId="37C3249B" w14:textId="77777777" w:rsidR="00433F71" w:rsidRDefault="0043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219E" w14:textId="6EE92C18" w:rsidR="004B44BB" w:rsidRDefault="00D202A0" w:rsidP="00D202A0">
    <w:pPr>
      <w:pStyle w:val="Header"/>
      <w:jc w:val="right"/>
    </w:pPr>
    <w:r>
      <w:rPr>
        <w:noProof/>
      </w:rPr>
      <w:drawing>
        <wp:inline distT="0" distB="0" distL="0" distR="0" wp14:anchorId="024D7469" wp14:editId="700BA142">
          <wp:extent cx="1693124" cy="1016668"/>
          <wp:effectExtent l="0" t="0" r="0" b="0"/>
          <wp:docPr id="1294043712" name="Picture 1" descr="Homeless Link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324483" name="Picture 1" descr="Homeless Link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44" cy="103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1FEE"/>
    <w:multiLevelType w:val="multilevel"/>
    <w:tmpl w:val="377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275AC"/>
    <w:multiLevelType w:val="multilevel"/>
    <w:tmpl w:val="3C78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555C0"/>
    <w:multiLevelType w:val="hybridMultilevel"/>
    <w:tmpl w:val="CD98E37E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55252E7B"/>
    <w:multiLevelType w:val="hybridMultilevel"/>
    <w:tmpl w:val="D47E9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A5121"/>
    <w:multiLevelType w:val="hybridMultilevel"/>
    <w:tmpl w:val="F0A48816"/>
    <w:lvl w:ilvl="0" w:tplc="53045174">
      <w:start w:val="1"/>
      <w:numFmt w:val="bullet"/>
      <w:lvlText w:val="●"/>
      <w:lvlJc w:val="left"/>
      <w:pPr>
        <w:ind w:left="720" w:hanging="360"/>
      </w:pPr>
    </w:lvl>
    <w:lvl w:ilvl="1" w:tplc="4E30151A">
      <w:start w:val="1"/>
      <w:numFmt w:val="bullet"/>
      <w:lvlText w:val="○"/>
      <w:lvlJc w:val="left"/>
      <w:pPr>
        <w:ind w:left="1440" w:hanging="360"/>
      </w:pPr>
    </w:lvl>
    <w:lvl w:ilvl="2" w:tplc="D1A06E66">
      <w:start w:val="1"/>
      <w:numFmt w:val="bullet"/>
      <w:lvlText w:val="■"/>
      <w:lvlJc w:val="left"/>
      <w:pPr>
        <w:ind w:left="2160" w:hanging="360"/>
      </w:pPr>
    </w:lvl>
    <w:lvl w:ilvl="3" w:tplc="C5D058DA">
      <w:start w:val="1"/>
      <w:numFmt w:val="bullet"/>
      <w:lvlText w:val="●"/>
      <w:lvlJc w:val="left"/>
      <w:pPr>
        <w:ind w:left="2880" w:hanging="360"/>
      </w:pPr>
    </w:lvl>
    <w:lvl w:ilvl="4" w:tplc="1D7442AE">
      <w:start w:val="1"/>
      <w:numFmt w:val="bullet"/>
      <w:lvlText w:val="○"/>
      <w:lvlJc w:val="left"/>
      <w:pPr>
        <w:ind w:left="3600" w:hanging="360"/>
      </w:pPr>
    </w:lvl>
    <w:lvl w:ilvl="5" w:tplc="7EF4E3E6">
      <w:start w:val="1"/>
      <w:numFmt w:val="bullet"/>
      <w:lvlText w:val="■"/>
      <w:lvlJc w:val="left"/>
      <w:pPr>
        <w:ind w:left="4320" w:hanging="360"/>
      </w:pPr>
    </w:lvl>
    <w:lvl w:ilvl="6" w:tplc="A3883C34">
      <w:start w:val="1"/>
      <w:numFmt w:val="bullet"/>
      <w:lvlText w:val="●"/>
      <w:lvlJc w:val="left"/>
      <w:pPr>
        <w:ind w:left="5040" w:hanging="360"/>
      </w:pPr>
    </w:lvl>
    <w:lvl w:ilvl="7" w:tplc="184A3C20">
      <w:start w:val="1"/>
      <w:numFmt w:val="bullet"/>
      <w:lvlText w:val="●"/>
      <w:lvlJc w:val="left"/>
      <w:pPr>
        <w:ind w:left="5760" w:hanging="360"/>
      </w:pPr>
    </w:lvl>
    <w:lvl w:ilvl="8" w:tplc="E8EC3610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1DD0CA8"/>
    <w:multiLevelType w:val="multilevel"/>
    <w:tmpl w:val="8E06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972801">
    <w:abstractNumId w:val="4"/>
    <w:lvlOverride w:ilvl="0">
      <w:startOverride w:val="1"/>
    </w:lvlOverride>
  </w:num>
  <w:num w:numId="2" w16cid:durableId="1172254157">
    <w:abstractNumId w:val="3"/>
  </w:num>
  <w:num w:numId="3" w16cid:durableId="1004554169">
    <w:abstractNumId w:val="2"/>
  </w:num>
  <w:num w:numId="4" w16cid:durableId="1599411830">
    <w:abstractNumId w:val="0"/>
  </w:num>
  <w:num w:numId="5" w16cid:durableId="1458528326">
    <w:abstractNumId w:val="5"/>
  </w:num>
  <w:num w:numId="6" w16cid:durableId="154890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F7"/>
    <w:rsid w:val="00033986"/>
    <w:rsid w:val="000478BD"/>
    <w:rsid w:val="000719F7"/>
    <w:rsid w:val="000B5650"/>
    <w:rsid w:val="000E56F4"/>
    <w:rsid w:val="001047E7"/>
    <w:rsid w:val="00126739"/>
    <w:rsid w:val="00140E4E"/>
    <w:rsid w:val="001726F2"/>
    <w:rsid w:val="00195CA8"/>
    <w:rsid w:val="00196C92"/>
    <w:rsid w:val="002147A9"/>
    <w:rsid w:val="002401F9"/>
    <w:rsid w:val="003256EB"/>
    <w:rsid w:val="003716F3"/>
    <w:rsid w:val="00375BEE"/>
    <w:rsid w:val="00377788"/>
    <w:rsid w:val="003842A0"/>
    <w:rsid w:val="00384698"/>
    <w:rsid w:val="00385264"/>
    <w:rsid w:val="003A2E69"/>
    <w:rsid w:val="003B7862"/>
    <w:rsid w:val="0040386C"/>
    <w:rsid w:val="00433F71"/>
    <w:rsid w:val="00474168"/>
    <w:rsid w:val="0048031C"/>
    <w:rsid w:val="004877DF"/>
    <w:rsid w:val="00487D29"/>
    <w:rsid w:val="004A0A8C"/>
    <w:rsid w:val="004B443F"/>
    <w:rsid w:val="004B44BB"/>
    <w:rsid w:val="004F700A"/>
    <w:rsid w:val="00505744"/>
    <w:rsid w:val="00542228"/>
    <w:rsid w:val="00587EB5"/>
    <w:rsid w:val="005A7348"/>
    <w:rsid w:val="005E2271"/>
    <w:rsid w:val="006813A2"/>
    <w:rsid w:val="00681607"/>
    <w:rsid w:val="006B711E"/>
    <w:rsid w:val="006E6152"/>
    <w:rsid w:val="00712119"/>
    <w:rsid w:val="00760AD8"/>
    <w:rsid w:val="007E12F5"/>
    <w:rsid w:val="00826077"/>
    <w:rsid w:val="00846B4E"/>
    <w:rsid w:val="008711DA"/>
    <w:rsid w:val="008B490C"/>
    <w:rsid w:val="008C7C56"/>
    <w:rsid w:val="008F0828"/>
    <w:rsid w:val="00906899"/>
    <w:rsid w:val="0094607E"/>
    <w:rsid w:val="009758BA"/>
    <w:rsid w:val="009A28FA"/>
    <w:rsid w:val="009C1DBF"/>
    <w:rsid w:val="009C4634"/>
    <w:rsid w:val="009D1842"/>
    <w:rsid w:val="00A24A5A"/>
    <w:rsid w:val="00A5621C"/>
    <w:rsid w:val="00AA5664"/>
    <w:rsid w:val="00AA745C"/>
    <w:rsid w:val="00AB6550"/>
    <w:rsid w:val="00B13EDF"/>
    <w:rsid w:val="00B33C5B"/>
    <w:rsid w:val="00B44C26"/>
    <w:rsid w:val="00B81E21"/>
    <w:rsid w:val="00BA691E"/>
    <w:rsid w:val="00BD3587"/>
    <w:rsid w:val="00BE16D1"/>
    <w:rsid w:val="00C043D8"/>
    <w:rsid w:val="00C160B5"/>
    <w:rsid w:val="00C44684"/>
    <w:rsid w:val="00C6747B"/>
    <w:rsid w:val="00C8719C"/>
    <w:rsid w:val="00CA7FE3"/>
    <w:rsid w:val="00CC001E"/>
    <w:rsid w:val="00CC6AE2"/>
    <w:rsid w:val="00CC75D2"/>
    <w:rsid w:val="00CD01D5"/>
    <w:rsid w:val="00CD3C89"/>
    <w:rsid w:val="00CE625A"/>
    <w:rsid w:val="00CF7BEF"/>
    <w:rsid w:val="00D202A0"/>
    <w:rsid w:val="00D375AA"/>
    <w:rsid w:val="00D442D6"/>
    <w:rsid w:val="00DC6981"/>
    <w:rsid w:val="00DD3A04"/>
    <w:rsid w:val="00DD775D"/>
    <w:rsid w:val="00DE3C12"/>
    <w:rsid w:val="00E07EBE"/>
    <w:rsid w:val="00E3502E"/>
    <w:rsid w:val="00E61B08"/>
    <w:rsid w:val="00E62E9C"/>
    <w:rsid w:val="00E7314F"/>
    <w:rsid w:val="00EA5F27"/>
    <w:rsid w:val="00EC5C7C"/>
    <w:rsid w:val="00EE1AB1"/>
    <w:rsid w:val="00EF0069"/>
    <w:rsid w:val="00F12F52"/>
    <w:rsid w:val="00F13436"/>
    <w:rsid w:val="00F24B13"/>
    <w:rsid w:val="00F252B9"/>
    <w:rsid w:val="00F44B79"/>
    <w:rsid w:val="00FA48B3"/>
    <w:rsid w:val="00FC074F"/>
    <w:rsid w:val="00FD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D67D1"/>
  <w15:docId w15:val="{5F8648E9-3712-44BF-8982-309D7B18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56"/>
  </w:style>
  <w:style w:type="paragraph" w:styleId="Heading1">
    <w:name w:val="heading 1"/>
    <w:uiPriority w:val="9"/>
    <w:qFormat/>
    <w:pPr>
      <w:spacing w:before="120" w:after="20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color w:val="1F4E79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44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43F"/>
  </w:style>
  <w:style w:type="paragraph" w:styleId="Footer">
    <w:name w:val="footer"/>
    <w:basedOn w:val="Normal"/>
    <w:link w:val="FooterChar"/>
    <w:uiPriority w:val="99"/>
    <w:unhideWhenUsed/>
    <w:rsid w:val="004B44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43F"/>
  </w:style>
  <w:style w:type="character" w:styleId="UnresolvedMention">
    <w:name w:val="Unresolved Mention"/>
    <w:basedOn w:val="DefaultParagraphFont"/>
    <w:uiPriority w:val="99"/>
    <w:semiHidden/>
    <w:unhideWhenUsed/>
    <w:rsid w:val="00CD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mplementing-the-renters-rights-act-social-housing/implementing-the-renters-rights-act-social-housing" TargetMode="External"/><Relationship Id="rId13" Type="http://schemas.openxmlformats.org/officeDocument/2006/relationships/hyperlink" Target="https://england.shelter.org.uk/professional_resources/shelter_training/free_and_discounted_trainin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gov.uk/guidance/renting-out-your-property-guidance-for-landlords-and-letting-agents/if-a-tenant-wants-a-pet-to-live-with-the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grounds-for-possession-guidance-for-landlords-and-letting-agents/grounds-for-possession-guidance-for-landlords-and-letting-ag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awaabs-law-guidance-for-social-landlords" TargetMode="External"/><Relationship Id="rId10" Type="http://schemas.openxmlformats.org/officeDocument/2006/relationships/hyperlink" Target="https://assets.publishing.service.gov.uk/media/699d8cbec497bac082bc7562/Written_information_that_must_be_given_to_tenants-_landlord_guidanc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the-renters-rights-act-information-sheet-2026" TargetMode="External"/><Relationship Id="rId14" Type="http://schemas.openxmlformats.org/officeDocument/2006/relationships/hyperlink" Target="https://www.gov.uk/government/consultations/consultation-on-a-reformed-decent-homes-standard-for-social-and-privately-rented-homes/outcome/the-new-decent-homes-standard-policy-statement" TargetMode="Externa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975E2E07B74797B05700B1B2A3DA" ma:contentTypeVersion="11" ma:contentTypeDescription="Create a new document." ma:contentTypeScope="" ma:versionID="097a92b88fe447200136835c58272529">
  <xsd:schema xmlns:xsd="http://www.w3.org/2001/XMLSchema" xmlns:xs="http://www.w3.org/2001/XMLSchema" xmlns:p="http://schemas.microsoft.com/office/2006/metadata/properties" xmlns:ns2="26cd00af-49bf-475d-9962-b856160a8fd0" xmlns:ns3="2ff871bc-43b1-4327-86d7-df04a0885ec9" targetNamespace="http://schemas.microsoft.com/office/2006/metadata/properties" ma:root="true" ma:fieldsID="1756f1ea275370f03240b6b70d29dd36" ns2:_="" ns3:_="">
    <xsd:import namespace="26cd00af-49bf-475d-9962-b856160a8fd0"/>
    <xsd:import namespace="2ff871bc-43b1-4327-86d7-df04a0885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d00af-49bf-475d-9962-b856160a8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4eefb-ffb3-4728-840e-2af4fb2d1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871bc-43b1-4327-86d7-df04a0885e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6eed78-8759-477a-86f1-19478e89513a}" ma:internalName="TaxCatchAll" ma:showField="CatchAllData" ma:web="2ff871bc-43b1-4327-86d7-df04a0885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cd00af-49bf-475d-9962-b856160a8fd0">
      <Terms xmlns="http://schemas.microsoft.com/office/infopath/2007/PartnerControls"/>
    </lcf76f155ced4ddcb4097134ff3c332f>
    <TaxCatchAll xmlns="2ff871bc-43b1-4327-86d7-df04a0885ec9" xsi:nil="true"/>
  </documentManagement>
</p:properties>
</file>

<file path=customXml/itemProps1.xml><?xml version="1.0" encoding="utf-8"?>
<ds:datastoreItem xmlns:ds="http://schemas.openxmlformats.org/officeDocument/2006/customXml" ds:itemID="{2E72D306-F54E-4181-8799-9AF9F679E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FB192-F3BE-4914-AD6C-49EE826422AD}"/>
</file>

<file path=customXml/itemProps3.xml><?xml version="1.0" encoding="utf-8"?>
<ds:datastoreItem xmlns:ds="http://schemas.openxmlformats.org/officeDocument/2006/customXml" ds:itemID="{02A90FF4-EB7B-4A31-B201-1595C4E1FFDA}"/>
</file>

<file path=customXml/itemProps4.xml><?xml version="1.0" encoding="utf-8"?>
<ds:datastoreItem xmlns:ds="http://schemas.openxmlformats.org/officeDocument/2006/customXml" ds:itemID="{6891E69D-2FB9-46E2-985E-1BF354754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Joanna Turner</cp:lastModifiedBy>
  <cp:revision>2</cp:revision>
  <dcterms:created xsi:type="dcterms:W3CDTF">2026-04-29T08:39:00Z</dcterms:created>
  <dcterms:modified xsi:type="dcterms:W3CDTF">2026-04-29T08:39:00Z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0x010100A725975E2E07B74797B05700B1B2A3DA</vt:lpwstr>
  </property>
</Properties>
</file>